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附件2：</w:t>
      </w:r>
    </w:p>
    <w:p>
      <w:pPr>
        <w:snapToGrid w:val="0"/>
        <w:spacing w:line="600" w:lineRule="exact"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吉安市知识产权专家库管理办法（试行）</w:t>
      </w:r>
    </w:p>
    <w:p>
      <w:pPr>
        <w:spacing w:line="600" w:lineRule="exact"/>
        <w:rPr>
          <w:rFonts w:ascii="宋体" w:hAnsi="宋体"/>
          <w:b/>
          <w:color w:val="000000"/>
          <w:sz w:val="44"/>
          <w:szCs w:val="44"/>
        </w:rPr>
      </w:pPr>
    </w:p>
    <w:p>
      <w:pPr>
        <w:spacing w:afterLines="50" w:line="600" w:lineRule="exact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32"/>
          <w:szCs w:val="32"/>
        </w:rPr>
        <w:t>第一章 总则</w:t>
      </w:r>
    </w:p>
    <w:p>
      <w:pPr>
        <w:pStyle w:val="26"/>
        <w:spacing w:line="600" w:lineRule="exact"/>
        <w:ind w:firstLine="7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第一条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为规范知识产权专家库（以下简称专家库）管理，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充分发挥知识产权专家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（以下简称专家）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对吉安市知识产权工作的智力支撑作用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，根据吉安知识产权工作实际，制定本办法。</w:t>
      </w:r>
    </w:p>
    <w:p>
      <w:pPr>
        <w:pStyle w:val="26"/>
        <w:spacing w:line="600" w:lineRule="exact"/>
        <w:ind w:firstLine="7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第二条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本办法所称专家，是指依照本办法规定入选专家库,从事知识产权创造、运用、保护、管理及服务等工作，具有较强理论水平或丰富实践经验的知识产权或相关专业人员。</w:t>
      </w:r>
    </w:p>
    <w:p>
      <w:pPr>
        <w:pStyle w:val="26"/>
        <w:spacing w:line="600" w:lineRule="exact"/>
        <w:ind w:firstLine="72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本办法所称专家库，是指市市场监督管理局（知识产权局）按照本办法管理的专家人才库。</w:t>
      </w:r>
    </w:p>
    <w:p>
      <w:pPr>
        <w:pStyle w:val="26"/>
        <w:spacing w:line="600" w:lineRule="exact"/>
        <w:ind w:firstLine="64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本办法所称专家库管理，是指专家库的建设、专家出入库、使用、指导、协调、监督等管理活动。</w:t>
      </w:r>
    </w:p>
    <w:p>
      <w:pPr>
        <w:pStyle w:val="26"/>
        <w:spacing w:line="600" w:lineRule="exact"/>
        <w:ind w:firstLine="643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第三条</w:t>
      </w:r>
      <w:r>
        <w:rPr>
          <w:rFonts w:hint="eastAsia" w:ascii="楷体_GB2312" w:hAnsi="仿宋" w:eastAsia="楷体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专家库由市市场监督管理局（知识产权局）根据科学管理、结构合理、规范使用、素质优良的原则进行管理和维护。</w:t>
      </w:r>
    </w:p>
    <w:p>
      <w:pPr>
        <w:pStyle w:val="26"/>
        <w:spacing w:line="600" w:lineRule="exact"/>
        <w:ind w:firstLine="63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第四条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市市场监督管理局知识产权管理科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具体负责专家库各项工作。</w:t>
      </w:r>
    </w:p>
    <w:p>
      <w:pPr>
        <w:snapToGrid w:val="0"/>
        <w:spacing w:beforeLines="50" w:afterLines="50" w:line="60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第二章 专家入库</w:t>
      </w:r>
    </w:p>
    <w:p>
      <w:pPr>
        <w:snapToGrid w:val="0"/>
        <w:spacing w:line="600" w:lineRule="exact"/>
        <w:ind w:firstLine="646"/>
        <w:rPr>
          <w:rFonts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第五条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专家入库的基本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条件：</w:t>
      </w:r>
    </w:p>
    <w:p>
      <w:pPr>
        <w:snapToGrid w:val="0"/>
        <w:spacing w:line="600" w:lineRule="exact"/>
        <w:ind w:firstLine="646"/>
        <w:rPr>
          <w:rFonts w:ascii="仿宋_GB2312" w:hAnsi="仿宋_GB2312" w:eastAsia="仿宋_GB2312" w:cs="仿宋_GB2312"/>
          <w:bCs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（一）具备良好的职业素质和道德品质，公道正派，无违法犯罪记录，无不良信用记录；</w:t>
      </w:r>
    </w:p>
    <w:p>
      <w:pPr>
        <w:pStyle w:val="9"/>
        <w:shd w:val="clear" w:color="auto" w:fill="FFFFFF"/>
        <w:spacing w:line="600" w:lineRule="exact"/>
        <w:ind w:firstLine="672" w:firstLineChars="200"/>
        <w:jc w:val="both"/>
        <w:rPr>
          <w:rFonts w:ascii="仿宋_GB2312" w:hAnsi="仿宋_GB2312" w:eastAsia="仿宋_GB2312" w:cs="仿宋_GB2312"/>
          <w:bCs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（二）熟悉专业(技术)领域和知识产权最新发展动态，并熟练掌握知识产权相关政策、法律法规和其他规定；</w:t>
      </w:r>
    </w:p>
    <w:p>
      <w:pPr>
        <w:pStyle w:val="9"/>
        <w:shd w:val="clear" w:color="auto" w:fill="FFFFFF"/>
        <w:spacing w:line="600" w:lineRule="exact"/>
        <w:jc w:val="both"/>
        <w:rPr>
          <w:rFonts w:ascii="仿宋_GB2312" w:hAnsi="仿宋_GB2312" w:eastAsia="仿宋_GB2312" w:cs="仿宋_GB2312"/>
          <w:bCs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   （三）年龄在65周岁以下，身体健康，能够胜任有关工作（</w:t>
      </w:r>
      <w:r>
        <w:rPr>
          <w:rFonts w:hint="eastAsia" w:ascii="仿宋_GB2312" w:eastAsia="仿宋_GB2312"/>
          <w:color w:val="000000"/>
          <w:sz w:val="32"/>
          <w:szCs w:val="32"/>
        </w:rPr>
        <w:t>存在特别情形的，根据工作需要，经市知识产权主管部门审批同意，可不受年龄条件限制）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；</w:t>
      </w:r>
    </w:p>
    <w:p>
      <w:pPr>
        <w:pStyle w:val="9"/>
        <w:shd w:val="clear" w:color="auto" w:fill="FFFFFF"/>
        <w:spacing w:line="600" w:lineRule="exact"/>
        <w:ind w:firstLine="672" w:firstLineChars="200"/>
        <w:jc w:val="both"/>
        <w:rPr>
          <w:rFonts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（四）自愿承担相关保密义务，自觉遵守评审纪律，服从管理，接受监督。</w:t>
      </w:r>
    </w:p>
    <w:p>
      <w:pPr>
        <w:pStyle w:val="9"/>
        <w:shd w:val="clear" w:color="auto" w:fill="FFFFFF"/>
        <w:spacing w:line="600" w:lineRule="exact"/>
        <w:ind w:firstLine="672" w:firstLineChars="200"/>
        <w:jc w:val="both"/>
        <w:rPr>
          <w:rStyle w:val="13"/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（五）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申请人员除具有以上基本条件外，还应符合以下</w:t>
      </w:r>
      <w:r>
        <w:rPr>
          <w:rStyle w:val="13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专业条件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之一：</w:t>
      </w:r>
    </w:p>
    <w:p>
      <w:pPr>
        <w:pStyle w:val="9"/>
        <w:shd w:val="clear" w:color="auto" w:fill="FFFFFF"/>
        <w:spacing w:line="60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.法律实务类专家</w:t>
      </w:r>
    </w:p>
    <w:p>
      <w:pPr>
        <w:widowControl/>
        <w:spacing w:line="600" w:lineRule="exact"/>
        <w:ind w:firstLine="672" w:firstLineChars="200"/>
        <w:jc w:val="left"/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知识产权服务机构参评人员需取得专利代理人、律师等执业资格3年以上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,有办理知识产权事务经验;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（2）知识产权行政管理、执法与司法、法律服务部门参评人员需具有3年以上知识产权行政管理、执法或司法、法律服务工作经历；</w:t>
      </w:r>
    </w:p>
    <w:p>
      <w:pPr>
        <w:pStyle w:val="9"/>
        <w:shd w:val="clear" w:color="auto" w:fill="FFFFFF"/>
        <w:spacing w:line="60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.专业技术类专家</w:t>
      </w:r>
    </w:p>
    <w:p>
      <w:pPr>
        <w:widowControl/>
        <w:spacing w:line="600" w:lineRule="exact"/>
        <w:ind w:firstLine="672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高等院校及科研机构参评人员需具有副高级以上（含副高级）专业技术职务任职资格3年以上；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（2）企事业单位参评人员需具有副高级以上(含副高级)专业技术职务任职资格3年以上，或取得中级专业技术职务任职资格5年以上；</w:t>
      </w:r>
    </w:p>
    <w:p>
      <w:pPr>
        <w:pStyle w:val="9"/>
        <w:shd w:val="clear" w:color="auto" w:fill="FFFFFF"/>
        <w:spacing w:line="60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</w:rPr>
        <w:t>.财务管理类专家</w:t>
      </w:r>
    </w:p>
    <w:p>
      <w:pPr>
        <w:pStyle w:val="9"/>
        <w:shd w:val="clear" w:color="auto" w:fill="FFFFFF"/>
        <w:spacing w:line="600" w:lineRule="exact"/>
        <w:ind w:firstLine="672" w:firstLineChars="200"/>
        <w:jc w:val="both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需熟悉国家财经政策法规和科技、知识产权经费管理规定，熟悉科研课题组织实施和经费管理的规律和特点，熟悉科研院所、高校、企业的财务管理制度，在财务及相关领域(如经济、金融、税收、资产、仪器设备等)具有5年以上工作经验，具有中级以上专业技术职称或同等水平的执业资格(如注册会计师等)。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kern w:val="0"/>
          <w:sz w:val="32"/>
          <w:szCs w:val="32"/>
        </w:rPr>
        <w:t>第六条</w:t>
      </w:r>
      <w:r>
        <w:rPr>
          <w:rFonts w:hint="eastAsia" w:ascii="仿宋_GB2312" w:eastAsia="仿宋_GB2312"/>
          <w:b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专家入库按照公开征集、个人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自愿申请、</w:t>
      </w:r>
      <w:r>
        <w:rPr>
          <w:rFonts w:hint="eastAsia" w:ascii="仿宋_GB2312" w:eastAsia="仿宋_GB2312"/>
          <w:color w:val="000000"/>
          <w:sz w:val="32"/>
          <w:szCs w:val="32"/>
        </w:rPr>
        <w:t>单位推荐、资格审核、审核结果公示、入库等程序进行。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专家入库具体包括如下程序：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一）</w:t>
      </w:r>
      <w:r>
        <w:rPr>
          <w:rFonts w:hint="eastAsia" w:ascii="仿宋_GB2312" w:eastAsia="仿宋_GB2312"/>
          <w:color w:val="000000"/>
          <w:sz w:val="32"/>
          <w:szCs w:val="32"/>
        </w:rPr>
        <w:t>向</w:t>
      </w:r>
      <w:r>
        <w:rPr>
          <w:rFonts w:ascii="仿宋_GB2312" w:eastAsia="仿宋_GB2312"/>
          <w:color w:val="000000"/>
          <w:sz w:val="32"/>
          <w:szCs w:val="32"/>
        </w:rPr>
        <w:t>社会</w:t>
      </w:r>
      <w:r>
        <w:rPr>
          <w:rFonts w:hint="eastAsia" w:ascii="仿宋_GB2312" w:eastAsia="仿宋_GB2312"/>
          <w:color w:val="000000"/>
          <w:sz w:val="32"/>
          <w:szCs w:val="32"/>
        </w:rPr>
        <w:t>公</w:t>
      </w:r>
      <w:r>
        <w:rPr>
          <w:rFonts w:ascii="仿宋_GB2312" w:eastAsia="仿宋_GB2312"/>
          <w:color w:val="000000"/>
          <w:sz w:val="32"/>
          <w:szCs w:val="32"/>
        </w:rPr>
        <w:t>开</w:t>
      </w:r>
      <w:r>
        <w:rPr>
          <w:rFonts w:hint="eastAsia" w:ascii="仿宋_GB2312" w:eastAsia="仿宋_GB2312"/>
          <w:color w:val="000000"/>
          <w:sz w:val="32"/>
          <w:szCs w:val="32"/>
        </w:rPr>
        <w:t>征</w:t>
      </w:r>
      <w:r>
        <w:rPr>
          <w:rFonts w:ascii="仿宋_GB2312" w:eastAsia="仿宋_GB2312"/>
          <w:color w:val="000000"/>
          <w:sz w:val="32"/>
          <w:szCs w:val="32"/>
        </w:rPr>
        <w:t>集</w:t>
      </w:r>
      <w:r>
        <w:rPr>
          <w:rFonts w:hint="eastAsia" w:ascii="仿宋_GB2312" w:eastAsia="仿宋_GB2312"/>
          <w:color w:val="000000"/>
          <w:sz w:val="32"/>
          <w:szCs w:val="32"/>
        </w:rPr>
        <w:t>；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申请人自愿申请、单位推荐</w:t>
      </w:r>
      <w:r>
        <w:rPr>
          <w:rFonts w:hint="eastAsia" w:ascii="仿宋_GB2312" w:eastAsia="仿宋_GB2312"/>
          <w:color w:val="000000"/>
          <w:sz w:val="32"/>
          <w:szCs w:val="32"/>
        </w:rPr>
        <w:t>：申请人在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eastAsia="仿宋_GB2312"/>
          <w:color w:val="000000"/>
          <w:sz w:val="32"/>
          <w:szCs w:val="32"/>
        </w:rPr>
        <w:t>网站下载《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</w:rPr>
        <w:t>吉安市知识产权专家库专家</w:t>
      </w:r>
      <w:r>
        <w:rPr>
          <w:rFonts w:hint="eastAsia" w:ascii="仿宋_GB2312" w:eastAsia="仿宋_GB2312"/>
          <w:color w:val="000000"/>
          <w:sz w:val="32"/>
          <w:szCs w:val="32"/>
        </w:rPr>
        <w:t>入库申请表》，并提交相关证明材料，必要时，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eastAsia="仿宋_GB2312"/>
          <w:color w:val="000000"/>
          <w:sz w:val="32"/>
          <w:szCs w:val="32"/>
        </w:rPr>
        <w:t>可审核申请人证明材料原件；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市市场监督管理局（知识产权局）根据本办法规定的条件以及其他有关规定</w:t>
      </w:r>
      <w:r>
        <w:rPr>
          <w:rFonts w:hint="eastAsia" w:ascii="仿宋_GB2312" w:eastAsia="仿宋_GB2312"/>
          <w:color w:val="000000"/>
          <w:sz w:val="32"/>
          <w:szCs w:val="32"/>
        </w:rPr>
        <w:t>进行资格审查、核实，择优拟定入库专家候选人名单；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（四）拟入库专家候选人名单在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eastAsia="仿宋_GB2312"/>
          <w:color w:val="000000"/>
          <w:sz w:val="32"/>
          <w:szCs w:val="32"/>
        </w:rPr>
        <w:t>网站上公示，公示期为5个工作日，公示期内任何单位和个人可实名提出异议，市市场监督管理局（知识产权局）在异议受理之日起10个工作日内作出异议处理决定，并书面告知异议申请人和被异议专家候选人；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（五）公示无异议的专家予以入库，由市市场监督管理局（知识产权局）向社会公告，并向入库专家颁发聘书，每届专家库聘期为三年。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市市场监督管理局（知识产权局）可根据工作需要对专家库进行届中增补。增补入库的专家聘期与当届专家库聘期一致。</w:t>
      </w:r>
    </w:p>
    <w:p>
      <w:pPr>
        <w:snapToGrid w:val="0"/>
        <w:spacing w:beforeLines="50" w:afterLines="50" w:line="60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第三章 专家出库及黑名单制度</w:t>
      </w:r>
    </w:p>
    <w:p>
      <w:pPr>
        <w:spacing w:line="600" w:lineRule="exact"/>
        <w:ind w:firstLine="643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第七条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>有下列行为之一的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可决定其出库并</w:t>
      </w:r>
      <w:r>
        <w:rPr>
          <w:rFonts w:ascii="仿宋_GB2312" w:hAnsi="仿宋_GB2312" w:eastAsia="仿宋_GB2312" w:cs="仿宋_GB2312"/>
          <w:sz w:val="32"/>
          <w:szCs w:val="32"/>
        </w:rPr>
        <w:t>列入黑名单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，其</w:t>
      </w:r>
      <w:r>
        <w:rPr>
          <w:rFonts w:hint="eastAsia" w:ascii="仿宋_GB2312" w:hAnsi="仿宋_GB2312" w:eastAsia="仿宋_GB2312" w:cs="仿宋_GB2312"/>
          <w:sz w:val="32"/>
          <w:szCs w:val="32"/>
        </w:rPr>
        <w:t>五年内</w:t>
      </w:r>
      <w:r>
        <w:rPr>
          <w:rFonts w:ascii="仿宋_GB2312" w:hAnsi="仿宋_GB2312" w:eastAsia="仿宋_GB2312" w:cs="仿宋_GB2312"/>
          <w:sz w:val="32"/>
          <w:szCs w:val="32"/>
        </w:rPr>
        <w:t>不得再申请入专家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库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：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（一）专家不积极履行工作职责或不胜任工作次数达三次以上的；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（二）专家不服从工作安排导致工作损失或有严重失职行为的；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（三）无故不履行专家职责的；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（四）公众举报不符合专家资格，经</w:t>
      </w:r>
      <w:r>
        <w:rPr>
          <w:rFonts w:hint="eastAsia" w:ascii="仿宋_GB2312" w:hAnsi="仿宋_GB2312" w:eastAsia="仿宋_GB2312" w:cs="仿宋_GB2312"/>
          <w:sz w:val="32"/>
          <w:szCs w:val="32"/>
        </w:rPr>
        <w:t>查证属实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（五）从事相关工作时，接受有关单位、个人的馈赠、宴请，利用专家的特殊身份和影响力从事商业活动，或者与议事对象及相关人员串通，为本人或所在单位谋取不正当利益或损害其他单位的利益，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经查证属实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违反职业道德和国家有关规定，未主动回避与自己有利害关系，经查证属实的；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</w:t>
      </w:r>
      <w:r>
        <w:rPr>
          <w:rFonts w:ascii="仿宋_GB2312" w:hAnsi="仿宋_GB2312" w:eastAsia="仿宋_GB2312" w:cs="仿宋_GB2312"/>
          <w:sz w:val="32"/>
          <w:szCs w:val="32"/>
        </w:rPr>
        <w:t>工作单位、职称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执业资格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等重要信息发生变化</w:t>
      </w:r>
    </w:p>
    <w:p>
      <w:pPr>
        <w:spacing w:line="600" w:lineRule="exact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后未及时通知变更二次以上的；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（八</w:t>
      </w:r>
      <w:r>
        <w:rPr>
          <w:rFonts w:ascii="仿宋_GB2312" w:hAnsi="仿宋" w:eastAsia="仿宋_GB2312"/>
          <w:color w:val="000000"/>
          <w:sz w:val="32"/>
          <w:szCs w:val="32"/>
        </w:rPr>
        <w:t>）法律法规规定的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其它</w:t>
      </w:r>
      <w:r>
        <w:rPr>
          <w:rFonts w:ascii="仿宋_GB2312" w:hAnsi="仿宋" w:eastAsia="仿宋_GB2312"/>
          <w:color w:val="000000"/>
          <w:sz w:val="32"/>
          <w:szCs w:val="32"/>
        </w:rPr>
        <w:t>情形。</w:t>
      </w:r>
    </w:p>
    <w:p>
      <w:pPr>
        <w:pStyle w:val="26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经确认出库的有关人员不得以</w:t>
      </w:r>
      <w:r>
        <w:rPr>
          <w:rFonts w:hint="eastAsia" w:ascii="仿宋_GB2312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专家库专家身份从事相关活动。</w:t>
      </w:r>
    </w:p>
    <w:p>
      <w:pPr>
        <w:snapToGrid w:val="0"/>
        <w:spacing w:beforeLines="50" w:afterLines="50" w:line="60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第四章  专家的权利和义务</w:t>
      </w:r>
    </w:p>
    <w:p>
      <w:pPr>
        <w:pStyle w:val="26"/>
        <w:spacing w:line="600" w:lineRule="exact"/>
        <w:ind w:firstLine="56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kern w:val="2"/>
          <w:sz w:val="32"/>
          <w:szCs w:val="32"/>
        </w:rPr>
        <w:t>第八条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专家可以参加以下活动：</w:t>
      </w:r>
    </w:p>
    <w:p>
      <w:pPr>
        <w:pStyle w:val="26"/>
        <w:spacing w:line="600" w:lineRule="exact"/>
        <w:ind w:firstLine="56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（一）参与研究和拟订地方知识产权法规、规章、政策以及地方、行业和企业知识产权战略；  </w:t>
      </w:r>
    </w:p>
    <w:p>
      <w:pPr>
        <w:pStyle w:val="26"/>
        <w:spacing w:line="600" w:lineRule="exact"/>
        <w:ind w:firstLine="56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（二）参与知识产权项目的评审、评价、评估、评标、评奖、验收，以及知识产权软科学课题研究和政府项目的招投标评审；</w:t>
      </w:r>
    </w:p>
    <w:p>
      <w:pPr>
        <w:pStyle w:val="26"/>
        <w:spacing w:line="600" w:lineRule="exac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（三）参与重大研发、经贸、投资和技术转移活动的知识产权论证和预警研究，为政府知识产权管理和决策提供咨询意见和建议；</w:t>
      </w:r>
    </w:p>
    <w:p>
      <w:pPr>
        <w:pStyle w:val="26"/>
        <w:spacing w:line="600" w:lineRule="exac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（四）参与知识产权侵权判定，疑难知识产权案件或涉外重大知识产权纠纷与争端研究讨论，提出有关有效解决方案的专家建议；</w:t>
      </w:r>
    </w:p>
    <w:p>
      <w:pPr>
        <w:pStyle w:val="26"/>
        <w:spacing w:line="600" w:lineRule="exac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（五）参与知识产权维权援助、信息利用服务和知识产权宣传普及、教育培训活动，为企事业单位知识产权创造、运用、保护和管理以及知识产权文化建设提供公共服务；</w:t>
      </w:r>
    </w:p>
    <w:p>
      <w:pPr>
        <w:pStyle w:val="26"/>
        <w:spacing w:line="600" w:lineRule="exact"/>
        <w:ind w:firstLine="55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（六）参与知识产权国际交流与合作活动；</w:t>
      </w:r>
    </w:p>
    <w:p>
      <w:pPr>
        <w:pStyle w:val="26"/>
        <w:spacing w:line="600" w:lineRule="exact"/>
        <w:ind w:firstLine="55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（七）其他需要专家参与的知识产权工作。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第九条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专家</w:t>
      </w:r>
      <w:r>
        <w:rPr>
          <w:rFonts w:hint="eastAsia" w:ascii="仿宋_GB2312" w:eastAsia="仿宋_GB2312"/>
          <w:color w:val="000000"/>
          <w:sz w:val="32"/>
          <w:szCs w:val="32"/>
        </w:rPr>
        <w:t>享有如下权利：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（一）对议事事项和有关行政管理制度规定的知情权；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（二）对咨询方法、评价指标、鉴定方法、研究模式等的建议推荐权；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（三）独立、公正、公平地提出评审或咨询意见，不受任何单位和个人的干预的权利；</w:t>
      </w:r>
    </w:p>
    <w:p>
      <w:pPr>
        <w:snapToGrid w:val="0"/>
        <w:spacing w:line="600" w:lineRule="exact"/>
        <w:ind w:firstLine="645"/>
        <w:rPr>
          <w:rFonts w:ascii="仿宋_GB2312" w:hAnsi="仿宋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（四）按照有关规定，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合法获取劳动报酬的权利；</w:t>
      </w:r>
    </w:p>
    <w:p>
      <w:pPr>
        <w:pStyle w:val="26"/>
        <w:shd w:val="clear" w:color="auto" w:fill="FFFFFF"/>
        <w:spacing w:line="60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（五）因健康等原因主动要求出库；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（六）其他依法享有的权利。</w:t>
      </w:r>
    </w:p>
    <w:p>
      <w:pPr>
        <w:snapToGrid w:val="0"/>
        <w:spacing w:line="600" w:lineRule="exact"/>
        <w:ind w:firstLine="64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第十条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专家应当</w:t>
      </w:r>
      <w:r>
        <w:rPr>
          <w:rFonts w:hint="eastAsia" w:ascii="仿宋_GB2312" w:eastAsia="仿宋_GB2312"/>
          <w:color w:val="000000"/>
          <w:sz w:val="32"/>
          <w:szCs w:val="32"/>
        </w:rPr>
        <w:t>承担如下义务：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（一）积极履行工作职责，按照科学、严谨、客观、公正的原则进行知识产权咨询、评审活动，严格执行市知识产权主管部门咨询、评审文件的要求和标准，按时提供真实、公正、严谨的咨询、评审意见或结论；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（二）自觉遵守国家法律、法规和咨询、评审工作纪律，保守有关国家秘密、商业秘密和个人隐私，不得擅自披露、使用或许可他人使用有关国家秘密、商业秘密和个人隐私，自觉保护他人知识产权和其他权利；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（三）自觉遵守专家库管理制度，准时参加承担的咨询、评审等活动，因故不能参加的，应及时提前告知活动组织者；项目人选一经确定，不得自行更换；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（四）与议事对象和议事项目存在利害关系，可能妨碍议事公正性的，自觉告知并主动回避；</w:t>
      </w:r>
    </w:p>
    <w:p>
      <w:pPr>
        <w:snapToGrid w:val="0"/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（五）从事议事工作时，不得接受有关单位、个人的馈赠、宴请，不得利用专家的特殊身份和影响力从事商业活动，或者与议事对象及相关人员串通，为本人或所在单位谋取不正当利益或损害其他单位的利益；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</w:t>
      </w:r>
      <w:r>
        <w:rPr>
          <w:rFonts w:ascii="仿宋_GB2312" w:hAnsi="仿宋_GB2312" w:eastAsia="仿宋_GB2312" w:cs="仿宋_GB2312"/>
          <w:sz w:val="32"/>
          <w:szCs w:val="32"/>
        </w:rPr>
        <w:t>如实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ascii="仿宋_GB2312" w:hAnsi="仿宋_GB2312" w:eastAsia="仿宋_GB2312" w:cs="仿宋_GB2312"/>
          <w:sz w:val="32"/>
          <w:szCs w:val="32"/>
        </w:rPr>
        <w:t>工作单位、职称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执业资格、通讯方式等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</w:t>
      </w:r>
      <w:r>
        <w:rPr>
          <w:rFonts w:ascii="仿宋_GB2312" w:hAnsi="仿宋_GB2312" w:eastAsia="仿宋_GB2312" w:cs="仿宋_GB2312"/>
          <w:sz w:val="32"/>
          <w:szCs w:val="32"/>
        </w:rPr>
        <w:t>。若上述信息发生变化，入库专家应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及时书面告知</w:t>
      </w:r>
      <w:r>
        <w:rPr>
          <w:rFonts w:ascii="仿宋_GB2312" w:hAnsi="仿宋_GB2312" w:eastAsia="仿宋_GB2312" w:cs="仿宋_GB2312"/>
          <w:sz w:val="32"/>
          <w:szCs w:val="32"/>
        </w:rPr>
        <w:t>，并提交相关证明材料。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（七）其他依法应当承担的义务。</w:t>
      </w:r>
    </w:p>
    <w:p>
      <w:pPr>
        <w:snapToGrid w:val="0"/>
        <w:spacing w:beforeLines="50" w:afterLines="50" w:line="60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第五章 专家库使用及日常管理监督</w:t>
      </w:r>
    </w:p>
    <w:p>
      <w:pPr>
        <w:pStyle w:val="26"/>
        <w:spacing w:line="600" w:lineRule="exact"/>
        <w:ind w:firstLine="72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第十一条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制定政策以及开展立法、项目评审、咨询、论证、鉴定、培训、研讨等有关活动，需要专家参与的，优先从专家库中选用专家。专家的劳务性报酬、交通费、食宿费等费用按照市政府、省局相关财务规定和标准执行。</w:t>
      </w:r>
    </w:p>
    <w:p>
      <w:pPr>
        <w:pStyle w:val="26"/>
        <w:shd w:val="clear" w:color="auto" w:fill="FFFFFF"/>
        <w:spacing w:line="600" w:lineRule="exact"/>
        <w:ind w:firstLine="720" w:firstLineChars="224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kern w:val="2"/>
          <w:sz w:val="32"/>
          <w:szCs w:val="32"/>
        </w:rPr>
        <w:t>第十二条</w:t>
      </w:r>
      <w:r>
        <w:rPr>
          <w:rFonts w:hint="eastAsia" w:ascii="仿宋_GB2312" w:eastAsia="仿宋_GB2312"/>
          <w:b/>
          <w:color w:val="000000"/>
          <w:kern w:val="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承担相关工作的专家通过专家库内随机抽取方式取得。</w:t>
      </w:r>
    </w:p>
    <w:p>
      <w:pPr>
        <w:pStyle w:val="26"/>
        <w:shd w:val="clear" w:color="auto" w:fill="FFFFFF"/>
        <w:spacing w:line="600" w:lineRule="exact"/>
        <w:ind w:firstLine="720" w:firstLineChars="224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kern w:val="2"/>
          <w:sz w:val="32"/>
          <w:szCs w:val="32"/>
        </w:rPr>
        <w:t>第十三条</w:t>
      </w:r>
      <w:r>
        <w:rPr>
          <w:rFonts w:ascii="仿宋_GB2312" w:eastAsia="仿宋_GB2312"/>
          <w:b/>
          <w:color w:val="000000"/>
          <w:kern w:val="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专家抽取应包含以下程序：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（一）提出需求：使用专家的部门就工作任务要求的专家条件和数量提出需求；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（二）设定条件：按照工作任务要求、设定专业要求和数量等条件，作为专家抽取设定条件；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（三）抽取专家：使用部门从专家库中随机抽取专家，形成候选专家名单；</w:t>
      </w:r>
    </w:p>
    <w:p>
      <w:pPr>
        <w:pStyle w:val="26"/>
        <w:shd w:val="clear" w:color="auto" w:fill="FFFFFF"/>
        <w:spacing w:line="600" w:lineRule="exact"/>
        <w:ind w:firstLine="56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（四）确定专家：使用部门与候选专家联系，确定其是否可以参加专家工作；若有专家无法参加工作导致专家数量未达到相关任务要求，专家数量不足部分再从专家库中随机抽取，直到符合工作需求。</w:t>
      </w:r>
    </w:p>
    <w:p>
      <w:pPr>
        <w:snapToGrid w:val="0"/>
        <w:spacing w:line="600" w:lineRule="exact"/>
        <w:ind w:firstLine="64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第十四条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eastAsia="仿宋_GB2312"/>
          <w:color w:val="000000"/>
          <w:sz w:val="32"/>
          <w:szCs w:val="32"/>
        </w:rPr>
        <w:t>定期组织或委托有关机构组织召开专家工作会议。根据需要，针对特定专业问题或重大议事事项，可临时召开专家专门工作会议。</w:t>
      </w:r>
    </w:p>
    <w:p>
      <w:pPr>
        <w:pStyle w:val="26"/>
        <w:spacing w:line="600" w:lineRule="exact"/>
        <w:ind w:firstLine="64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kern w:val="2"/>
          <w:sz w:val="32"/>
          <w:szCs w:val="32"/>
        </w:rPr>
        <w:t xml:space="preserve">第十五条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专家承担工作项目，可采取会面或书面工作的方式。根据工作实际，可采取召开专家论证会或电话、电子邮件咨询等工作方式，但应做好记录等工作。</w:t>
      </w:r>
    </w:p>
    <w:p>
      <w:pPr>
        <w:pStyle w:val="26"/>
        <w:spacing w:line="600" w:lineRule="exact"/>
        <w:ind w:firstLine="64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采取书面方式开展工作的，市市场监督管理局（知识产权局）应自收到相关单位申请之日起五个工作日内，在专家库内抽取相关专家，并将有关材料送达有关专家，使之了解工作内容及要求，并与有关专家商定完成工作的期限。有关专家应对工作内容及要求进行认真研究，制作书面答复意见或建议，并签字确认。</w:t>
      </w:r>
    </w:p>
    <w:p>
      <w:pPr>
        <w:pStyle w:val="26"/>
        <w:spacing w:line="600" w:lineRule="exact"/>
        <w:ind w:firstLine="643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仿宋" w:eastAsia="楷体_GB2312"/>
          <w:b/>
          <w:bCs/>
          <w:color w:val="000000"/>
          <w:sz w:val="32"/>
          <w:szCs w:val="32"/>
        </w:rPr>
        <w:t xml:space="preserve">第十八条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ascii="仿宋_GB2312" w:hAnsi="仿宋" w:eastAsia="仿宋_GB2312"/>
          <w:color w:val="000000"/>
          <w:sz w:val="32"/>
          <w:szCs w:val="32"/>
        </w:rPr>
        <w:t>保障专家库及专家的信息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及档案</w:t>
      </w:r>
      <w:r>
        <w:rPr>
          <w:rFonts w:ascii="仿宋_GB2312" w:hAnsi="仿宋" w:eastAsia="仿宋_GB2312"/>
          <w:color w:val="000000"/>
          <w:sz w:val="32"/>
          <w:szCs w:val="32"/>
        </w:rPr>
        <w:t>安全，严禁私自复制、下载、泄露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专家库及专家相关信息等行为。</w:t>
      </w:r>
    </w:p>
    <w:p>
      <w:pPr>
        <w:spacing w:line="600" w:lineRule="exact"/>
        <w:ind w:firstLine="643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仿宋" w:eastAsia="楷体_GB2312"/>
          <w:b/>
          <w:bCs/>
          <w:color w:val="000000"/>
          <w:sz w:val="32"/>
          <w:szCs w:val="32"/>
        </w:rPr>
        <w:t xml:space="preserve">第十九条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市市场监督管理局（知识产权局）负责对专家库的监督，接受社会公众对</w:t>
      </w:r>
      <w:r>
        <w:rPr>
          <w:rFonts w:ascii="仿宋_GB2312" w:hAnsi="仿宋_GB2312" w:eastAsia="仿宋_GB2312" w:cs="仿宋_GB2312"/>
          <w:sz w:val="32"/>
          <w:szCs w:val="32"/>
        </w:rPr>
        <w:t>专家库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专家的</w:t>
      </w:r>
      <w:r>
        <w:rPr>
          <w:rFonts w:ascii="仿宋_GB2312" w:hAnsi="仿宋_GB2312" w:eastAsia="仿宋_GB2312" w:cs="仿宋_GB2312"/>
          <w:sz w:val="32"/>
          <w:szCs w:val="32"/>
        </w:rPr>
        <w:t>投诉举报</w:t>
      </w:r>
      <w:r>
        <w:rPr>
          <w:rFonts w:hint="eastAsia" w:ascii="仿宋_GB2312" w:hAnsi="仿宋_GB2312" w:eastAsia="仿宋_GB2312" w:cs="仿宋_GB2312"/>
          <w:sz w:val="32"/>
          <w:szCs w:val="32"/>
        </w:rPr>
        <w:t>及相关利害关系人的回避申请，并及时</w:t>
      </w:r>
      <w:r>
        <w:rPr>
          <w:rFonts w:ascii="仿宋_GB2312" w:hAnsi="仿宋_GB2312" w:eastAsia="仿宋_GB2312" w:cs="仿宋_GB2312"/>
          <w:sz w:val="32"/>
          <w:szCs w:val="32"/>
        </w:rPr>
        <w:t>核查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核实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相关内容。</w:t>
      </w:r>
    </w:p>
    <w:p>
      <w:pPr>
        <w:snapToGrid w:val="0"/>
        <w:spacing w:beforeLines="50" w:afterLines="50" w:line="600" w:lineRule="exact"/>
        <w:jc w:val="center"/>
        <w:rPr>
          <w:rFonts w:ascii="仿宋_GB2312" w:hAnsi="仿宋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第六章 法律责任</w:t>
      </w:r>
    </w:p>
    <w:p>
      <w:pPr>
        <w:snapToGrid w:val="0"/>
        <w:spacing w:line="60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hAnsi="仿宋" w:eastAsia="楷体_GB2312"/>
          <w:b/>
          <w:bCs/>
          <w:color w:val="000000"/>
          <w:kern w:val="0"/>
          <w:sz w:val="32"/>
          <w:szCs w:val="32"/>
        </w:rPr>
        <w:t xml:space="preserve">第二十条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工作人员违反法律、法规、规章和本办法有关规定的，由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按照纪律监察法规等有关规定处理；</w:t>
      </w:r>
      <w:r>
        <w:rPr>
          <w:rFonts w:hint="eastAsia" w:ascii="仿宋_GB2312" w:eastAsia="仿宋_GB2312"/>
          <w:color w:val="000000"/>
          <w:sz w:val="32"/>
          <w:szCs w:val="32"/>
        </w:rPr>
        <w:t>专家违反法律、法规、规章和本办法有关规定，或者有关人员经确认出库后仍以专家名义活动的，依法依规予以处理。</w:t>
      </w:r>
    </w:p>
    <w:p>
      <w:pPr>
        <w:snapToGrid w:val="0"/>
        <w:spacing w:beforeLines="50" w:afterLines="50" w:line="60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第七章 附则</w:t>
      </w:r>
    </w:p>
    <w:p>
      <w:pPr>
        <w:snapToGrid w:val="0"/>
        <w:spacing w:line="600" w:lineRule="exact"/>
        <w:ind w:firstLine="646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第二十一条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本办法由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市市场监督管理局（知识产权局）</w:t>
      </w:r>
      <w:r>
        <w:rPr>
          <w:rFonts w:hint="eastAsia" w:ascii="仿宋_GB2312" w:eastAsia="仿宋_GB2312"/>
          <w:color w:val="000000"/>
          <w:sz w:val="32"/>
          <w:szCs w:val="32"/>
        </w:rPr>
        <w:t>负责解释。</w:t>
      </w:r>
    </w:p>
    <w:p>
      <w:pPr>
        <w:snapToGrid w:val="0"/>
        <w:spacing w:line="600" w:lineRule="exact"/>
        <w:ind w:firstLine="64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第二十二条  </w:t>
      </w:r>
      <w:r>
        <w:rPr>
          <w:rFonts w:hint="eastAsia" w:ascii="仿宋_GB2312" w:eastAsia="仿宋_GB2312"/>
          <w:color w:val="000000"/>
          <w:sz w:val="32"/>
          <w:szCs w:val="32"/>
        </w:rPr>
        <w:t>本办法自印发之日起实施。</w:t>
      </w:r>
    </w:p>
    <w:sectPr>
      <w:footerReference r:id="rId3" w:type="default"/>
      <w:footerReference r:id="rId4" w:type="even"/>
      <w:pgSz w:w="11906" w:h="16838"/>
      <w:pgMar w:top="1985" w:right="1841" w:bottom="2268" w:left="1843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9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40" w:firstLineChars="5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1"/>
  <w:drawingGridVerticalSpacing w:val="579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FF1"/>
    <w:rsid w:val="0000157B"/>
    <w:rsid w:val="00014898"/>
    <w:rsid w:val="00015C07"/>
    <w:rsid w:val="00034808"/>
    <w:rsid w:val="00066414"/>
    <w:rsid w:val="00072670"/>
    <w:rsid w:val="00081503"/>
    <w:rsid w:val="000868DD"/>
    <w:rsid w:val="00090075"/>
    <w:rsid w:val="000A4E80"/>
    <w:rsid w:val="000B2981"/>
    <w:rsid w:val="000B3218"/>
    <w:rsid w:val="000B5BE1"/>
    <w:rsid w:val="000B6F99"/>
    <w:rsid w:val="000C551D"/>
    <w:rsid w:val="000D1393"/>
    <w:rsid w:val="000D2EDB"/>
    <w:rsid w:val="000D59A9"/>
    <w:rsid w:val="000E3221"/>
    <w:rsid w:val="000E6157"/>
    <w:rsid w:val="000E6560"/>
    <w:rsid w:val="000F4646"/>
    <w:rsid w:val="000F5AE0"/>
    <w:rsid w:val="000F7569"/>
    <w:rsid w:val="00102421"/>
    <w:rsid w:val="00104661"/>
    <w:rsid w:val="0011204F"/>
    <w:rsid w:val="001124F6"/>
    <w:rsid w:val="00126F8D"/>
    <w:rsid w:val="00130CA0"/>
    <w:rsid w:val="00135FA9"/>
    <w:rsid w:val="00150FBE"/>
    <w:rsid w:val="001549FE"/>
    <w:rsid w:val="00156E16"/>
    <w:rsid w:val="00172A27"/>
    <w:rsid w:val="00174851"/>
    <w:rsid w:val="00176CEB"/>
    <w:rsid w:val="00177140"/>
    <w:rsid w:val="001771C6"/>
    <w:rsid w:val="00186D06"/>
    <w:rsid w:val="00191EBD"/>
    <w:rsid w:val="001A1395"/>
    <w:rsid w:val="001B71ED"/>
    <w:rsid w:val="001D246D"/>
    <w:rsid w:val="001D3BB7"/>
    <w:rsid w:val="001F41FD"/>
    <w:rsid w:val="001F4EDF"/>
    <w:rsid w:val="00201B17"/>
    <w:rsid w:val="0021534A"/>
    <w:rsid w:val="00223514"/>
    <w:rsid w:val="002252E2"/>
    <w:rsid w:val="00226B40"/>
    <w:rsid w:val="00227A04"/>
    <w:rsid w:val="0023065B"/>
    <w:rsid w:val="002308B9"/>
    <w:rsid w:val="00231A07"/>
    <w:rsid w:val="00242AA5"/>
    <w:rsid w:val="00245D4C"/>
    <w:rsid w:val="002564D9"/>
    <w:rsid w:val="002677B2"/>
    <w:rsid w:val="00274B0D"/>
    <w:rsid w:val="00274EB5"/>
    <w:rsid w:val="00285A45"/>
    <w:rsid w:val="0029241D"/>
    <w:rsid w:val="002A774A"/>
    <w:rsid w:val="002B18EF"/>
    <w:rsid w:val="002C3B29"/>
    <w:rsid w:val="002E54A0"/>
    <w:rsid w:val="00300A26"/>
    <w:rsid w:val="003061A9"/>
    <w:rsid w:val="00314325"/>
    <w:rsid w:val="00324704"/>
    <w:rsid w:val="003453BF"/>
    <w:rsid w:val="0035038F"/>
    <w:rsid w:val="0035383E"/>
    <w:rsid w:val="003A24F9"/>
    <w:rsid w:val="003A6AC6"/>
    <w:rsid w:val="003C460D"/>
    <w:rsid w:val="003C64D9"/>
    <w:rsid w:val="003D15AC"/>
    <w:rsid w:val="003D21EA"/>
    <w:rsid w:val="003D536F"/>
    <w:rsid w:val="003D6FD9"/>
    <w:rsid w:val="003D7E83"/>
    <w:rsid w:val="003F2411"/>
    <w:rsid w:val="00411BC3"/>
    <w:rsid w:val="00413A40"/>
    <w:rsid w:val="0041514A"/>
    <w:rsid w:val="00416E70"/>
    <w:rsid w:val="00432EAE"/>
    <w:rsid w:val="004337F4"/>
    <w:rsid w:val="0043799A"/>
    <w:rsid w:val="00444AC5"/>
    <w:rsid w:val="00460E94"/>
    <w:rsid w:val="00477B76"/>
    <w:rsid w:val="0048615A"/>
    <w:rsid w:val="00495085"/>
    <w:rsid w:val="004A0132"/>
    <w:rsid w:val="004A0F6C"/>
    <w:rsid w:val="004A6BA3"/>
    <w:rsid w:val="004B214B"/>
    <w:rsid w:val="004C4EC2"/>
    <w:rsid w:val="004C66AB"/>
    <w:rsid w:val="004E6B82"/>
    <w:rsid w:val="004F2ED0"/>
    <w:rsid w:val="004F35D8"/>
    <w:rsid w:val="004F3C90"/>
    <w:rsid w:val="004F46D5"/>
    <w:rsid w:val="004F55BF"/>
    <w:rsid w:val="00502658"/>
    <w:rsid w:val="005178DF"/>
    <w:rsid w:val="00523572"/>
    <w:rsid w:val="00530024"/>
    <w:rsid w:val="00530BDE"/>
    <w:rsid w:val="005470AB"/>
    <w:rsid w:val="00555470"/>
    <w:rsid w:val="0055699D"/>
    <w:rsid w:val="00560DE1"/>
    <w:rsid w:val="005676DA"/>
    <w:rsid w:val="0057007C"/>
    <w:rsid w:val="0058459C"/>
    <w:rsid w:val="005A081C"/>
    <w:rsid w:val="005B26DE"/>
    <w:rsid w:val="005B43D5"/>
    <w:rsid w:val="005C38DD"/>
    <w:rsid w:val="005D0F90"/>
    <w:rsid w:val="005E1195"/>
    <w:rsid w:val="005E3F0C"/>
    <w:rsid w:val="005E64D3"/>
    <w:rsid w:val="00604C8F"/>
    <w:rsid w:val="00607CBE"/>
    <w:rsid w:val="006208F4"/>
    <w:rsid w:val="006220FB"/>
    <w:rsid w:val="0064765A"/>
    <w:rsid w:val="006765F3"/>
    <w:rsid w:val="00682512"/>
    <w:rsid w:val="006923DC"/>
    <w:rsid w:val="00697315"/>
    <w:rsid w:val="006F087C"/>
    <w:rsid w:val="007027AA"/>
    <w:rsid w:val="0071030C"/>
    <w:rsid w:val="00712DC8"/>
    <w:rsid w:val="0072065B"/>
    <w:rsid w:val="00721436"/>
    <w:rsid w:val="00722B1A"/>
    <w:rsid w:val="0072439B"/>
    <w:rsid w:val="00725E3C"/>
    <w:rsid w:val="00726D8F"/>
    <w:rsid w:val="00731282"/>
    <w:rsid w:val="007425CA"/>
    <w:rsid w:val="0074697D"/>
    <w:rsid w:val="00750F39"/>
    <w:rsid w:val="00752C8D"/>
    <w:rsid w:val="00753002"/>
    <w:rsid w:val="007619CF"/>
    <w:rsid w:val="0079229A"/>
    <w:rsid w:val="00792ABD"/>
    <w:rsid w:val="007A5BB5"/>
    <w:rsid w:val="007D1687"/>
    <w:rsid w:val="007E0AB4"/>
    <w:rsid w:val="007E3433"/>
    <w:rsid w:val="007E51F8"/>
    <w:rsid w:val="007F08BA"/>
    <w:rsid w:val="007F1064"/>
    <w:rsid w:val="00803836"/>
    <w:rsid w:val="00806CC3"/>
    <w:rsid w:val="00824164"/>
    <w:rsid w:val="008451B4"/>
    <w:rsid w:val="008817B5"/>
    <w:rsid w:val="00892525"/>
    <w:rsid w:val="00893C09"/>
    <w:rsid w:val="008A35CB"/>
    <w:rsid w:val="008D7B78"/>
    <w:rsid w:val="008E3051"/>
    <w:rsid w:val="008E66F9"/>
    <w:rsid w:val="008F3B58"/>
    <w:rsid w:val="00902DDB"/>
    <w:rsid w:val="00907182"/>
    <w:rsid w:val="00912389"/>
    <w:rsid w:val="00932761"/>
    <w:rsid w:val="009362C0"/>
    <w:rsid w:val="009404FA"/>
    <w:rsid w:val="00963871"/>
    <w:rsid w:val="0096608C"/>
    <w:rsid w:val="00973B51"/>
    <w:rsid w:val="0097428D"/>
    <w:rsid w:val="00981F7F"/>
    <w:rsid w:val="009855FA"/>
    <w:rsid w:val="009906AF"/>
    <w:rsid w:val="00990DE6"/>
    <w:rsid w:val="009956BB"/>
    <w:rsid w:val="009A6980"/>
    <w:rsid w:val="009B4E8C"/>
    <w:rsid w:val="009C4A62"/>
    <w:rsid w:val="009C777E"/>
    <w:rsid w:val="009D307C"/>
    <w:rsid w:val="009E4A32"/>
    <w:rsid w:val="00A133A9"/>
    <w:rsid w:val="00A14ADE"/>
    <w:rsid w:val="00A14D36"/>
    <w:rsid w:val="00A16A4F"/>
    <w:rsid w:val="00A24A2A"/>
    <w:rsid w:val="00A34762"/>
    <w:rsid w:val="00A61C03"/>
    <w:rsid w:val="00A714EC"/>
    <w:rsid w:val="00A72E28"/>
    <w:rsid w:val="00A87180"/>
    <w:rsid w:val="00AA5301"/>
    <w:rsid w:val="00AB3521"/>
    <w:rsid w:val="00AB6A45"/>
    <w:rsid w:val="00AD2EA0"/>
    <w:rsid w:val="00AD380F"/>
    <w:rsid w:val="00AE7CE7"/>
    <w:rsid w:val="00AF60DA"/>
    <w:rsid w:val="00AF6BDE"/>
    <w:rsid w:val="00B0676E"/>
    <w:rsid w:val="00B12E32"/>
    <w:rsid w:val="00B314F0"/>
    <w:rsid w:val="00B337D2"/>
    <w:rsid w:val="00B33BB5"/>
    <w:rsid w:val="00B373D3"/>
    <w:rsid w:val="00B4693C"/>
    <w:rsid w:val="00B572DB"/>
    <w:rsid w:val="00B61913"/>
    <w:rsid w:val="00B6279D"/>
    <w:rsid w:val="00B74568"/>
    <w:rsid w:val="00B75631"/>
    <w:rsid w:val="00B7728E"/>
    <w:rsid w:val="00B83BBF"/>
    <w:rsid w:val="00B95189"/>
    <w:rsid w:val="00BA090D"/>
    <w:rsid w:val="00BA191E"/>
    <w:rsid w:val="00BA54D0"/>
    <w:rsid w:val="00BB4111"/>
    <w:rsid w:val="00BB643D"/>
    <w:rsid w:val="00BC0865"/>
    <w:rsid w:val="00BD36E7"/>
    <w:rsid w:val="00BD661F"/>
    <w:rsid w:val="00BD73A3"/>
    <w:rsid w:val="00BF0FA8"/>
    <w:rsid w:val="00C06E79"/>
    <w:rsid w:val="00C10129"/>
    <w:rsid w:val="00C12B4A"/>
    <w:rsid w:val="00C144E6"/>
    <w:rsid w:val="00C41220"/>
    <w:rsid w:val="00C4417F"/>
    <w:rsid w:val="00C4605A"/>
    <w:rsid w:val="00C66BF6"/>
    <w:rsid w:val="00C75A95"/>
    <w:rsid w:val="00C975AF"/>
    <w:rsid w:val="00CA29A1"/>
    <w:rsid w:val="00CC3006"/>
    <w:rsid w:val="00CD1096"/>
    <w:rsid w:val="00CD21A0"/>
    <w:rsid w:val="00CD6C0B"/>
    <w:rsid w:val="00CF3899"/>
    <w:rsid w:val="00CF7B1A"/>
    <w:rsid w:val="00D01742"/>
    <w:rsid w:val="00D071A3"/>
    <w:rsid w:val="00D24989"/>
    <w:rsid w:val="00D24EA4"/>
    <w:rsid w:val="00D279FD"/>
    <w:rsid w:val="00D34BE2"/>
    <w:rsid w:val="00D35E1E"/>
    <w:rsid w:val="00D606EC"/>
    <w:rsid w:val="00D637C0"/>
    <w:rsid w:val="00D66E01"/>
    <w:rsid w:val="00D72286"/>
    <w:rsid w:val="00D94E4F"/>
    <w:rsid w:val="00DA560C"/>
    <w:rsid w:val="00DB0A9E"/>
    <w:rsid w:val="00DD195C"/>
    <w:rsid w:val="00DD1FEB"/>
    <w:rsid w:val="00DD6968"/>
    <w:rsid w:val="00DE33F6"/>
    <w:rsid w:val="00DE62ED"/>
    <w:rsid w:val="00DE7E89"/>
    <w:rsid w:val="00DF0ECF"/>
    <w:rsid w:val="00DF10EF"/>
    <w:rsid w:val="00DF3034"/>
    <w:rsid w:val="00E0488C"/>
    <w:rsid w:val="00E076D1"/>
    <w:rsid w:val="00E105E2"/>
    <w:rsid w:val="00E13873"/>
    <w:rsid w:val="00E24788"/>
    <w:rsid w:val="00E32678"/>
    <w:rsid w:val="00E33D26"/>
    <w:rsid w:val="00E4578C"/>
    <w:rsid w:val="00E5718E"/>
    <w:rsid w:val="00E74D60"/>
    <w:rsid w:val="00E82E5D"/>
    <w:rsid w:val="00E91D78"/>
    <w:rsid w:val="00EA1590"/>
    <w:rsid w:val="00EA78BA"/>
    <w:rsid w:val="00EB0D02"/>
    <w:rsid w:val="00EC6FCE"/>
    <w:rsid w:val="00EC7D35"/>
    <w:rsid w:val="00ED4388"/>
    <w:rsid w:val="00EE5F93"/>
    <w:rsid w:val="00EF18C1"/>
    <w:rsid w:val="00F146C9"/>
    <w:rsid w:val="00F3279E"/>
    <w:rsid w:val="00F35700"/>
    <w:rsid w:val="00F43415"/>
    <w:rsid w:val="00F4570C"/>
    <w:rsid w:val="00F60D78"/>
    <w:rsid w:val="00F706B5"/>
    <w:rsid w:val="00F847F3"/>
    <w:rsid w:val="00FA6752"/>
    <w:rsid w:val="00FB4C1F"/>
    <w:rsid w:val="00FB53AC"/>
    <w:rsid w:val="00FC6ABB"/>
    <w:rsid w:val="00FC6EA7"/>
    <w:rsid w:val="00FC77E7"/>
    <w:rsid w:val="00FE43AC"/>
    <w:rsid w:val="00FE7110"/>
    <w:rsid w:val="00FF35EC"/>
    <w:rsid w:val="024739FB"/>
    <w:rsid w:val="05EC6EC3"/>
    <w:rsid w:val="0F3F47F0"/>
    <w:rsid w:val="107B64DA"/>
    <w:rsid w:val="17A70D19"/>
    <w:rsid w:val="37726044"/>
    <w:rsid w:val="4FD34FFB"/>
    <w:rsid w:val="5300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cs="宋体"/>
      <w:b/>
      <w:kern w:val="0"/>
      <w:sz w:val="27"/>
      <w:szCs w:val="27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20"/>
    <w:uiPriority w:val="0"/>
    <w:pPr>
      <w:ind w:left="100" w:leftChars="25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rFonts w:cs="Times New Roman"/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p0 Char"/>
    <w:link w:val="17"/>
    <w:qFormat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17">
    <w:name w:val="p0"/>
    <w:basedOn w:val="1"/>
    <w:link w:val="16"/>
    <w:uiPriority w:val="0"/>
    <w:pPr>
      <w:widowControl/>
    </w:pPr>
    <w:rPr>
      <w:kern w:val="0"/>
      <w:szCs w:val="21"/>
    </w:rPr>
  </w:style>
  <w:style w:type="character" w:customStyle="1" w:styleId="18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19">
    <w:name w:val="标题 1 Char"/>
    <w:link w:val="2"/>
    <w:locked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0">
    <w:name w:val="日期 Char"/>
    <w:link w:val="5"/>
    <w:uiPriority w:val="0"/>
    <w:rPr>
      <w:kern w:val="2"/>
      <w:sz w:val="21"/>
      <w:szCs w:val="22"/>
    </w:rPr>
  </w:style>
  <w:style w:type="character" w:customStyle="1" w:styleId="21">
    <w:name w:val="标题 2 Char"/>
    <w:basedOn w:val="12"/>
    <w:link w:val="3"/>
    <w:semiHidden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2">
    <w:name w:val="页眉 Char"/>
    <w:link w:val="8"/>
    <w:uiPriority w:val="0"/>
    <w:rPr>
      <w:kern w:val="2"/>
      <w:sz w:val="18"/>
      <w:szCs w:val="18"/>
    </w:rPr>
  </w:style>
  <w:style w:type="paragraph" w:customStyle="1" w:styleId="23">
    <w:name w:val="p15"/>
    <w:basedOn w:val="1"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列出段落1"/>
    <w:basedOn w:val="1"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customStyle="1" w:styleId="25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p18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585</Words>
  <Characters>3335</Characters>
  <Lines>27</Lines>
  <Paragraphs>7</Paragraphs>
  <TotalTime>2</TotalTime>
  <ScaleCrop>false</ScaleCrop>
  <LinksUpToDate>false</LinksUpToDate>
  <CharactersWithSpaces>3913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2021-04-13T02:41:00Z</dcterms:created>
  <dc:creator>dell-1</dc:creator>
  <cp:lastModifiedBy>白骨森林</cp:lastModifiedBy>
  <cp:lastPrinted>2020-04-03T02:22:00Z</cp:lastPrinted>
  <dcterms:modified xsi:type="dcterms:W3CDTF">2021-04-15T00:19:42Z</dcterms:modified>
  <dc:title>洪食药监字〔2012〕 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6C78E4F86434446092F5D33F67F2B78E</vt:lpwstr>
  </property>
</Properties>
</file>