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井冈山大学</w:t>
      </w:r>
      <w:r>
        <w:rPr>
          <w:rFonts w:hint="eastAsia" w:ascii="方正小标宋简体" w:hAnsi="方正小标宋简体" w:eastAsia="方正小标宋简体" w:cs="方正小标宋简体"/>
          <w:color w:val="000000"/>
          <w:kern w:val="0"/>
          <w:sz w:val="43"/>
          <w:szCs w:val="43"/>
          <w:lang w:val="en-US" w:eastAsia="zh-CN" w:bidi="ar"/>
        </w:rPr>
        <w:t>技术转移转化</w:t>
      </w:r>
      <w:r>
        <w:rPr>
          <w:rFonts w:ascii="方正小标宋简体" w:hAnsi="方正小标宋简体" w:eastAsia="方正小标宋简体" w:cs="方正小标宋简体"/>
          <w:color w:val="000000"/>
          <w:kern w:val="0"/>
          <w:sz w:val="43"/>
          <w:szCs w:val="43"/>
          <w:lang w:val="en-US" w:eastAsia="zh-CN" w:bidi="ar"/>
        </w:rPr>
        <w:t>工作量计算办法</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（征求意见稿）</w:t>
      </w:r>
    </w:p>
    <w:p>
      <w:pPr>
        <w:keepNext w:val="0"/>
        <w:keepLines w:val="0"/>
        <w:widowControl/>
        <w:suppressLineNumbers w:val="0"/>
        <w:jc w:val="center"/>
        <w:rPr>
          <w:rFonts w:hint="eastAsia" w:ascii="仿宋_GB2312" w:hAnsi="仿宋_GB2312" w:eastAsia="仿宋_GB2312" w:cs="仿宋_GB2312"/>
          <w:color w:val="000000"/>
          <w:kern w:val="0"/>
          <w:sz w:val="32"/>
          <w:szCs w:val="32"/>
          <w:lang w:val="en-US" w:eastAsia="zh-CN" w:bidi="ar"/>
        </w:rPr>
      </w:pP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第一条  </w:t>
      </w:r>
      <w:r>
        <w:rPr>
          <w:rFonts w:hint="eastAsia" w:ascii="仿宋_GB2312" w:hAnsi="仿宋_GB2312" w:eastAsia="仿宋_GB2312" w:cs="仿宋_GB2312"/>
          <w:color w:val="000000"/>
          <w:kern w:val="0"/>
          <w:sz w:val="32"/>
          <w:szCs w:val="32"/>
          <w:lang w:val="en-US" w:eastAsia="zh-CN" w:bidi="ar"/>
        </w:rPr>
        <w:t>为</w:t>
      </w:r>
      <w:r>
        <w:rPr>
          <w:rFonts w:hint="eastAsia" w:ascii="仿宋_GB2312" w:hAnsi="仿宋_GB2312" w:eastAsia="仿宋_GB2312" w:cs="仿宋_GB2312"/>
          <w:color w:val="000000"/>
          <w:sz w:val="32"/>
          <w:szCs w:val="32"/>
          <w:lang w:val="en-US" w:eastAsia="zh-CN"/>
        </w:rPr>
        <w:t>提高学校技术转移转化能力，推动学校向应用型大学转型</w:t>
      </w:r>
      <w:r>
        <w:rPr>
          <w:rFonts w:hint="eastAsia" w:ascii="仿宋_GB2312" w:hAnsi="仿宋_GB2312" w:eastAsia="仿宋_GB2312" w:cs="仿宋_GB2312"/>
          <w:color w:val="000000"/>
          <w:kern w:val="0"/>
          <w:sz w:val="32"/>
          <w:szCs w:val="32"/>
          <w:lang w:val="en-US" w:eastAsia="zh-CN" w:bidi="ar"/>
        </w:rPr>
        <w:t>，根据中共中央、国务院印发的《深化新时代教育评价改革总体方案》、</w:t>
      </w:r>
      <w:r>
        <w:rPr>
          <w:rFonts w:hint="eastAsia" w:ascii="仿宋_GB2312" w:hAnsi="仿宋_GB2312" w:eastAsia="仿宋_GB2312" w:cs="仿宋_GB2312"/>
          <w:color w:val="000000"/>
          <w:sz w:val="32"/>
          <w:szCs w:val="32"/>
        </w:rPr>
        <w:t>《江西省人民政府办公厅关于进一步促进高等学校科技成果落地江西的实施意见》(赣府厅发〔2019〕24 号)</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《关于深化科技体制机制改革加快高质量发展的实施意见》(赣办字〔2019〕40 号)</w:t>
      </w:r>
      <w:r>
        <w:rPr>
          <w:rFonts w:hint="eastAsia" w:ascii="仿宋_GB2312" w:hAnsi="仿宋_GB2312" w:eastAsia="仿宋_GB2312" w:cs="仿宋_GB2312"/>
          <w:color w:val="000000"/>
          <w:sz w:val="32"/>
          <w:szCs w:val="32"/>
          <w:lang w:val="en-US" w:eastAsia="zh-CN"/>
        </w:rPr>
        <w:t>等文件精神</w:t>
      </w:r>
      <w:r>
        <w:rPr>
          <w:rFonts w:hint="eastAsia" w:ascii="仿宋_GB2312" w:hAnsi="仿宋_GB2312" w:eastAsia="仿宋_GB2312" w:cs="仿宋_GB2312"/>
          <w:color w:val="000000"/>
          <w:kern w:val="0"/>
          <w:sz w:val="32"/>
          <w:szCs w:val="32"/>
          <w:lang w:val="en-US" w:eastAsia="zh-CN" w:bidi="ar"/>
        </w:rPr>
        <w:t xml:space="preserve">，参照《井冈山大学科研工作量计算办法》，制订形成本办法。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第二条  </w:t>
      </w:r>
      <w:r>
        <w:rPr>
          <w:rFonts w:hint="eastAsia" w:ascii="仿宋_GB2312" w:hAnsi="仿宋_GB2312" w:eastAsia="仿宋_GB2312" w:cs="仿宋_GB2312"/>
          <w:color w:val="000000"/>
          <w:kern w:val="0"/>
          <w:sz w:val="32"/>
          <w:szCs w:val="32"/>
          <w:lang w:val="en-US" w:eastAsia="zh-CN" w:bidi="ar"/>
        </w:rPr>
        <w:t xml:space="preserve">凡我校教职工从事技术转移转化工作取得的工作业绩，均适用本办法。 </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第三条 </w:t>
      </w:r>
      <w:r>
        <w:rPr>
          <w:rFonts w:hint="eastAsia" w:ascii="仿宋_GB2312" w:hAnsi="仿宋_GB2312" w:eastAsia="仿宋_GB2312" w:cs="仿宋_GB2312"/>
          <w:color w:val="000000"/>
          <w:kern w:val="0"/>
          <w:sz w:val="32"/>
          <w:szCs w:val="32"/>
          <w:lang w:val="en-US" w:eastAsia="zh-CN" w:bidi="ar"/>
        </w:rPr>
        <w:t>学校技术转移转化工作内容包括技术转让、技术开发、技术服务和技术咨询；接受地方党委和地方人民政府聘任为高层次专家或科技顾问；获批各级科技特派员；获得知识产权成果证书；获批各级大学科技园、技术转移转化基地和知识产权服务平台。</w:t>
      </w:r>
    </w:p>
    <w:p>
      <w:pPr>
        <w:keepNext w:val="0"/>
        <w:keepLines w:val="0"/>
        <w:widowControl/>
        <w:suppressLineNumbers w:val="0"/>
        <w:ind w:firstLine="643"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第四条</w:t>
      </w:r>
      <w:r>
        <w:rPr>
          <w:rFonts w:hint="eastAsia" w:ascii="仿宋_GB2312" w:hAnsi="仿宋_GB2312" w:eastAsia="仿宋_GB2312" w:cs="仿宋_GB2312"/>
          <w:color w:val="000000"/>
          <w:kern w:val="0"/>
          <w:sz w:val="32"/>
          <w:szCs w:val="32"/>
          <w:lang w:val="en-US" w:eastAsia="zh-CN" w:bidi="ar"/>
        </w:rPr>
        <w:t xml:space="preserve">  教职工的技术转让、技术开发、技术服务和技术咨询等活动，应签订合同（协议），由技术转移转化中心根据学校相关制度对合同（协议）进行审批，并纳入横向科研项目管理，未立项为横向科研项目的，不予认定为技术转移转化工作业绩。</w:t>
      </w:r>
    </w:p>
    <w:p>
      <w:pPr>
        <w:keepNext w:val="0"/>
        <w:keepLines w:val="0"/>
        <w:widowControl/>
        <w:suppressLineNumbers w:val="0"/>
        <w:ind w:firstLine="643" w:firstLineChars="200"/>
        <w:jc w:val="left"/>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 xml:space="preserve">第五条 </w:t>
      </w:r>
      <w:r>
        <w:rPr>
          <w:rFonts w:hint="eastAsia" w:ascii="仿宋_GB2312" w:hAnsi="仿宋_GB2312" w:eastAsia="仿宋_GB2312" w:cs="仿宋_GB2312"/>
          <w:b w:val="0"/>
          <w:bCs w:val="0"/>
          <w:color w:val="000000"/>
          <w:kern w:val="0"/>
          <w:sz w:val="32"/>
          <w:szCs w:val="32"/>
          <w:lang w:val="en-US" w:eastAsia="zh-CN" w:bidi="ar"/>
        </w:rPr>
        <w:t>技术转移转化工作量核算的业绩类型与计分额度</w:t>
      </w:r>
    </w:p>
    <w:p>
      <w:pPr>
        <w:keepNext w:val="0"/>
        <w:keepLines w:val="0"/>
        <w:widowControl/>
        <w:suppressLineNumbers w:val="0"/>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1.横向科研项目</w:t>
      </w:r>
    </w:p>
    <w:p>
      <w:pPr>
        <w:keepNext w:val="0"/>
        <w:keepLines w:val="0"/>
        <w:widowControl/>
        <w:suppressLineNumbers w:val="0"/>
        <w:ind w:firstLine="640" w:firstLineChars="200"/>
        <w:jc w:val="left"/>
        <w:rPr>
          <w:rFonts w:hint="default" w:ascii="仿宋_GB2312" w:hAnsi="宋体" w:eastAsia="仿宋_GB2312" w:cs="仿宋_GB2312"/>
          <w:b w:val="0"/>
          <w:bCs w:val="0"/>
          <w:color w:val="000000"/>
          <w:kern w:val="0"/>
          <w:sz w:val="32"/>
          <w:szCs w:val="32"/>
          <w:lang w:val="en-US" w:eastAsia="zh-CN" w:bidi="ar"/>
        </w:rPr>
      </w:pPr>
      <w:r>
        <w:rPr>
          <w:rFonts w:hint="eastAsia" w:ascii="仿宋_GB2312" w:hAnsi="宋体" w:eastAsia="仿宋_GB2312" w:cs="仿宋_GB2312"/>
          <w:b w:val="0"/>
          <w:bCs w:val="0"/>
          <w:color w:val="000000"/>
          <w:kern w:val="0"/>
          <w:sz w:val="32"/>
          <w:szCs w:val="32"/>
          <w:lang w:val="en-US" w:eastAsia="zh-CN" w:bidi="ar"/>
        </w:rPr>
        <w:t>根据横向科研项目到账经费，按理科项目每万元3分、文科项目每万元12分的标准进行计算技术转移转化工作量；通过技术合同登记审核的，按理科项目每万元1分、文科项目每万元4分的标准，额外计算技术转移转化工作量。</w:t>
      </w:r>
    </w:p>
    <w:p>
      <w:pPr>
        <w:keepNext w:val="0"/>
        <w:keepLines w:val="0"/>
        <w:widowControl/>
        <w:suppressLineNumbers w:val="0"/>
        <w:ind w:firstLine="643" w:firstLineChars="200"/>
        <w:jc w:val="left"/>
        <w:rPr>
          <w:rFonts w:hint="default"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2.政府特聘专家与科技特派员</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被省部级党政机关下文聘请为高层次专家或科技顾问（以国务院各部委、省委省政府正式文件为准）的，每人计技术转移转化工作量100分；经省科技厅批准为省级科技特派员的，每人计技术转移转化工作量30分；</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被市厅级党政机关下文聘请为高层次专家或科技顾问（以省委省政府市厅级机关、市委市政府正式文件为准）的，每人计技术转移转化工作量20分；经市科技局批准为市级科技特派员的，每人计技术转移转化工作量10分；</w:t>
      </w:r>
    </w:p>
    <w:p>
      <w:pPr>
        <w:keepNext w:val="0"/>
        <w:keepLines w:val="0"/>
        <w:widowControl/>
        <w:suppressLineNumbers w:val="0"/>
        <w:ind w:firstLine="640"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（3）被县级党委或人民政府（不含县处级部门）下文聘请为高层次专家或科技顾问的（以县委县政府正式文件为准），每人计技术转移转化工作量5分。</w:t>
      </w:r>
    </w:p>
    <w:p>
      <w:pPr>
        <w:keepNext w:val="0"/>
        <w:keepLines w:val="0"/>
        <w:widowControl/>
        <w:suppressLineNumbers w:val="0"/>
        <w:ind w:firstLine="643" w:firstLineChars="200"/>
        <w:jc w:val="left"/>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3.获得各类知识产权成果证书</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井冈山大学为第一专利权人、学校教职工为第一发明人的原创性知识产权成果，按照以下标准计算技术转移转化工作量：</w:t>
      </w:r>
    </w:p>
    <w:tbl>
      <w:tblPr>
        <w:tblStyle w:val="2"/>
        <w:tblW w:w="80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4819"/>
        <w:gridCol w:w="1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76" w:type="dxa"/>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类  别</w:t>
            </w:r>
          </w:p>
        </w:tc>
        <w:tc>
          <w:tcPr>
            <w:tcW w:w="4819" w:type="dxa"/>
            <w:vAlign w:val="center"/>
          </w:tcPr>
          <w:p>
            <w:pPr>
              <w:spacing w:line="400" w:lineRule="exact"/>
              <w:jc w:val="center"/>
              <w:rPr>
                <w:rFonts w:hint="eastAsia" w:ascii="仿宋" w:hAnsi="仿宋" w:eastAsia="仿宋" w:cs="仿宋"/>
                <w:b/>
                <w:caps/>
                <w:sz w:val="24"/>
                <w:szCs w:val="24"/>
              </w:rPr>
            </w:pPr>
            <w:r>
              <w:rPr>
                <w:rFonts w:hint="eastAsia" w:ascii="仿宋" w:hAnsi="仿宋" w:eastAsia="仿宋" w:cs="仿宋"/>
                <w:b/>
                <w:sz w:val="24"/>
                <w:szCs w:val="24"/>
              </w:rPr>
              <w:t>知识产权名称</w:t>
            </w:r>
          </w:p>
        </w:tc>
        <w:tc>
          <w:tcPr>
            <w:tcW w:w="1985" w:type="dxa"/>
            <w:vAlign w:val="center"/>
          </w:tcPr>
          <w:p>
            <w:pPr>
              <w:spacing w:line="400" w:lineRule="exact"/>
              <w:jc w:val="center"/>
              <w:rPr>
                <w:rFonts w:hint="eastAsia" w:ascii="仿宋" w:hAnsi="仿宋" w:eastAsia="仿宋" w:cs="仿宋"/>
                <w:b/>
                <w:caps/>
                <w:sz w:val="24"/>
                <w:szCs w:val="24"/>
              </w:rPr>
            </w:pPr>
            <w:r>
              <w:rPr>
                <w:rFonts w:hint="eastAsia" w:ascii="仿宋" w:hAnsi="仿宋" w:eastAsia="仿宋" w:cs="仿宋"/>
                <w:b/>
                <w:kern w:val="0"/>
                <w:sz w:val="24"/>
                <w:szCs w:val="24"/>
              </w:rPr>
              <w:t>分值（分/项）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ascii="Times New Roman" w:hAnsi="Times New Roman" w:eastAsia="宋体" w:cs="Times New Roman"/>
                <w:w w:val="90"/>
                <w:sz w:val="24"/>
                <w:szCs w:val="24"/>
              </w:rPr>
            </w:pPr>
            <w:r>
              <w:rPr>
                <w:rFonts w:ascii="Times New Roman" w:hAnsi="Times New Roman" w:eastAsia="宋体" w:cs="Times New Roman"/>
                <w:w w:val="90"/>
                <w:sz w:val="24"/>
                <w:szCs w:val="24"/>
              </w:rPr>
              <w:t>A1</w:t>
            </w:r>
          </w:p>
        </w:tc>
        <w:tc>
          <w:tcPr>
            <w:tcW w:w="4819" w:type="dxa"/>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获得国家新医药认证</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300</w:t>
            </w:r>
            <w:r>
              <w:rPr>
                <w:rFonts w:ascii="Times New Roman" w:hAnsi="Times New Roman" w:eastAsia="宋体" w:cs="Times New Roman"/>
                <w:w w:val="90"/>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restart"/>
            <w:vAlign w:val="center"/>
          </w:tcPr>
          <w:p>
            <w:pPr>
              <w:spacing w:line="400" w:lineRule="exact"/>
              <w:jc w:val="center"/>
              <w:rPr>
                <w:rFonts w:ascii="Times New Roman" w:hAnsi="Times New Roman" w:eastAsia="宋体" w:cs="Times New Roman"/>
                <w:w w:val="90"/>
                <w:sz w:val="24"/>
                <w:szCs w:val="24"/>
              </w:rPr>
            </w:pPr>
            <w:r>
              <w:rPr>
                <w:rFonts w:ascii="Times New Roman" w:hAnsi="Times New Roman" w:eastAsia="宋体" w:cs="Times New Roman"/>
                <w:w w:val="90"/>
                <w:sz w:val="24"/>
                <w:szCs w:val="24"/>
              </w:rPr>
              <w:t>A2</w:t>
            </w:r>
          </w:p>
        </w:tc>
        <w:tc>
          <w:tcPr>
            <w:tcW w:w="4819" w:type="dxa"/>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获得国家新农药、新兽药认证</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10</w:t>
            </w:r>
            <w:r>
              <w:rPr>
                <w:rFonts w:ascii="Times New Roman" w:hAnsi="Times New Roman" w:eastAsia="宋体" w:cs="Times New Roman"/>
                <w:w w:val="90"/>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continue"/>
            <w:vAlign w:val="center"/>
          </w:tcPr>
          <w:p>
            <w:pPr>
              <w:spacing w:line="400" w:lineRule="exact"/>
              <w:jc w:val="center"/>
              <w:rPr>
                <w:rFonts w:ascii="Times New Roman" w:hAnsi="Times New Roman" w:eastAsia="宋体" w:cs="Times New Roman"/>
                <w:w w:val="90"/>
                <w:sz w:val="24"/>
                <w:szCs w:val="24"/>
              </w:rPr>
            </w:pPr>
          </w:p>
        </w:tc>
        <w:tc>
          <w:tcPr>
            <w:tcW w:w="4819" w:type="dxa"/>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国家农作物新品种、林木良种、畜禽新品种认定</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10</w:t>
            </w:r>
            <w:r>
              <w:rPr>
                <w:rFonts w:ascii="Times New Roman" w:hAnsi="Times New Roman" w:eastAsia="宋体" w:cs="Times New Roman"/>
                <w:w w:val="90"/>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ascii="Times New Roman" w:hAnsi="Times New Roman" w:eastAsia="宋体" w:cs="Times New Roman"/>
                <w:w w:val="90"/>
                <w:sz w:val="24"/>
                <w:szCs w:val="24"/>
              </w:rPr>
            </w:pPr>
            <w:r>
              <w:rPr>
                <w:rFonts w:ascii="Times New Roman" w:hAnsi="Times New Roman" w:eastAsia="宋体" w:cs="Times New Roman"/>
                <w:w w:val="90"/>
                <w:sz w:val="24"/>
                <w:szCs w:val="24"/>
              </w:rPr>
              <w:t>B1</w:t>
            </w:r>
          </w:p>
        </w:tc>
        <w:tc>
          <w:tcPr>
            <w:tcW w:w="4819" w:type="dxa"/>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获得国际发明专利</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2</w:t>
            </w:r>
            <w:r>
              <w:rPr>
                <w:rFonts w:ascii="Times New Roman" w:hAnsi="Times New Roman" w:eastAsia="宋体" w:cs="Times New Roman"/>
                <w:w w:val="90"/>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ascii="Times New Roman" w:hAnsi="Times New Roman" w:eastAsia="宋体" w:cs="Times New Roman"/>
                <w:w w:val="90"/>
                <w:sz w:val="24"/>
                <w:szCs w:val="24"/>
              </w:rPr>
            </w:pPr>
            <w:r>
              <w:rPr>
                <w:rFonts w:ascii="Times New Roman" w:hAnsi="Times New Roman" w:eastAsia="宋体" w:cs="Times New Roman"/>
                <w:w w:val="90"/>
                <w:sz w:val="24"/>
                <w:szCs w:val="24"/>
              </w:rPr>
              <w:t>B2</w:t>
            </w:r>
          </w:p>
        </w:tc>
        <w:tc>
          <w:tcPr>
            <w:tcW w:w="4819" w:type="dxa"/>
            <w:vAlign w:val="center"/>
          </w:tcPr>
          <w:p>
            <w:pPr>
              <w:jc w:val="center"/>
              <w:rPr>
                <w:rFonts w:hint="eastAsia" w:ascii="仿宋" w:hAnsi="仿宋" w:eastAsia="仿宋" w:cs="仿宋"/>
                <w:w w:val="90"/>
                <w:sz w:val="24"/>
                <w:szCs w:val="24"/>
              </w:rPr>
            </w:pPr>
            <w:r>
              <w:rPr>
                <w:rFonts w:hint="eastAsia" w:ascii="仿宋" w:hAnsi="仿宋" w:eastAsia="仿宋" w:cs="仿宋"/>
                <w:w w:val="90"/>
                <w:sz w:val="24"/>
                <w:szCs w:val="24"/>
              </w:rPr>
              <w:t>获得国家发明专利</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2</w:t>
            </w:r>
            <w:r>
              <w:rPr>
                <w:rFonts w:ascii="Times New Roman" w:hAnsi="Times New Roman" w:eastAsia="宋体" w:cs="Times New Roman"/>
                <w:w w:val="90"/>
                <w:sz w:val="24"/>
                <w:szCs w:val="24"/>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hint="eastAsia"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B3</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获得集成电路布图设计登记证书</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B4</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获得国家实用新型专利</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B5</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获得国家外观设计专利</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B6</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获得软件著作权证书</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1</w:t>
            </w:r>
          </w:p>
        </w:tc>
      </w:tr>
    </w:tbl>
    <w:p>
      <w:pPr>
        <w:numPr>
          <w:ilvl w:val="0"/>
          <w:numId w:val="0"/>
        </w:numPr>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井冈山大学为主编或参编单位、学校教职工为主要起草人或主要审查人的标准，学校按照以下标准计附加绩效分值：</w:t>
      </w:r>
    </w:p>
    <w:tbl>
      <w:tblPr>
        <w:tblStyle w:val="2"/>
        <w:tblW w:w="80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4819"/>
        <w:gridCol w:w="1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76" w:type="dxa"/>
            <w:vAlign w:val="center"/>
          </w:tcPr>
          <w:p>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类  别</w:t>
            </w:r>
          </w:p>
        </w:tc>
        <w:tc>
          <w:tcPr>
            <w:tcW w:w="4819" w:type="dxa"/>
            <w:vAlign w:val="center"/>
          </w:tcPr>
          <w:p>
            <w:pPr>
              <w:spacing w:line="400" w:lineRule="exact"/>
              <w:jc w:val="center"/>
              <w:rPr>
                <w:rFonts w:hint="default" w:ascii="仿宋" w:hAnsi="仿宋" w:eastAsia="仿宋" w:cs="仿宋"/>
                <w:b/>
                <w:caps/>
                <w:sz w:val="24"/>
                <w:szCs w:val="24"/>
                <w:lang w:val="en-US" w:eastAsia="zh-CN"/>
              </w:rPr>
            </w:pPr>
            <w:r>
              <w:rPr>
                <w:rFonts w:hint="eastAsia" w:ascii="仿宋" w:hAnsi="仿宋" w:eastAsia="仿宋" w:cs="仿宋"/>
                <w:b/>
                <w:sz w:val="24"/>
                <w:szCs w:val="24"/>
                <w:lang w:val="en-US" w:eastAsia="zh-CN"/>
              </w:rPr>
              <w:t>标准类别</w:t>
            </w:r>
          </w:p>
        </w:tc>
        <w:tc>
          <w:tcPr>
            <w:tcW w:w="1985" w:type="dxa"/>
            <w:vAlign w:val="center"/>
          </w:tcPr>
          <w:p>
            <w:pPr>
              <w:spacing w:line="400" w:lineRule="exact"/>
              <w:jc w:val="center"/>
              <w:rPr>
                <w:rFonts w:hint="eastAsia" w:ascii="仿宋" w:hAnsi="仿宋" w:eastAsia="仿宋" w:cs="仿宋"/>
                <w:b/>
                <w:caps/>
                <w:sz w:val="24"/>
                <w:szCs w:val="24"/>
              </w:rPr>
            </w:pPr>
            <w:r>
              <w:rPr>
                <w:rFonts w:hint="eastAsia" w:ascii="仿宋" w:hAnsi="仿宋" w:eastAsia="仿宋" w:cs="仿宋"/>
                <w:b/>
                <w:kern w:val="0"/>
                <w:sz w:val="24"/>
                <w:szCs w:val="24"/>
              </w:rPr>
              <w:t>分值（分/项）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ascii="Times New Roman" w:hAnsi="Times New Roman" w:eastAsia="宋体" w:cs="Times New Roman"/>
                <w:w w:val="90"/>
                <w:sz w:val="24"/>
                <w:szCs w:val="24"/>
              </w:rPr>
            </w:pPr>
            <w:r>
              <w:rPr>
                <w:rFonts w:ascii="Times New Roman" w:hAnsi="Times New Roman" w:eastAsia="宋体" w:cs="Times New Roman"/>
                <w:w w:val="90"/>
                <w:sz w:val="24"/>
                <w:szCs w:val="24"/>
              </w:rPr>
              <w:t>A1</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国家标准（GB）</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300</w:t>
            </w:r>
            <w:r>
              <w:rPr>
                <w:rFonts w:ascii="Times New Roman" w:hAnsi="Times New Roman" w:eastAsia="宋体" w:cs="Times New Roman"/>
                <w:w w:val="90"/>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ascii="Times New Roman" w:hAnsi="Times New Roman" w:eastAsia="宋体" w:cs="Times New Roman"/>
                <w:w w:val="90"/>
                <w:sz w:val="24"/>
                <w:szCs w:val="24"/>
              </w:rPr>
            </w:pPr>
            <w:r>
              <w:rPr>
                <w:rFonts w:ascii="Times New Roman" w:hAnsi="Times New Roman" w:eastAsia="宋体" w:cs="Times New Roman"/>
                <w:w w:val="90"/>
                <w:sz w:val="24"/>
                <w:szCs w:val="24"/>
              </w:rPr>
              <w:t>A2</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推荐性国家标准（GB/T）</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rPr>
            </w:pPr>
            <w:r>
              <w:rPr>
                <w:rFonts w:hint="eastAsia" w:ascii="Times New Roman" w:hAnsi="Times New Roman" w:eastAsia="宋体" w:cs="Times New Roman"/>
                <w:w w:val="90"/>
                <w:sz w:val="24"/>
                <w:szCs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hint="eastAsia"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A3</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行业标准</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Align w:val="center"/>
          </w:tcPr>
          <w:p>
            <w:pPr>
              <w:spacing w:line="400" w:lineRule="exact"/>
              <w:jc w:val="center"/>
              <w:rPr>
                <w:rFonts w:hint="eastAsia" w:ascii="Times New Roman" w:hAnsi="Times New Roman" w:eastAsia="宋体" w:cs="Times New Roman"/>
                <w:w w:val="90"/>
                <w:sz w:val="24"/>
                <w:szCs w:val="24"/>
                <w:lang w:eastAsia="zh-CN"/>
              </w:rPr>
            </w:pPr>
            <w:r>
              <w:rPr>
                <w:rFonts w:hint="eastAsia" w:ascii="Times New Roman" w:hAnsi="Times New Roman" w:eastAsia="宋体" w:cs="Times New Roman"/>
                <w:w w:val="90"/>
                <w:sz w:val="24"/>
                <w:szCs w:val="24"/>
                <w:lang w:val="en-US" w:eastAsia="zh-CN"/>
              </w:rPr>
              <w:t>B</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地方标准（省）</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rPr>
            </w:pPr>
            <w:r>
              <w:rPr>
                <w:rFonts w:hint="eastAsia" w:ascii="Times New Roman" w:hAnsi="Times New Roman" w:eastAsia="宋体" w:cs="Times New Roman"/>
                <w:w w:val="90"/>
                <w:sz w:val="24"/>
                <w:szCs w:val="24"/>
                <w:lang w:val="en-US" w:eastAsia="zh-CN"/>
              </w:rPr>
              <w:t>20</w:t>
            </w:r>
          </w:p>
        </w:tc>
      </w:tr>
    </w:tbl>
    <w:p>
      <w:pPr>
        <w:keepNext w:val="0"/>
        <w:keepLines w:val="0"/>
        <w:widowControl/>
        <w:suppressLineNumbers w:val="0"/>
        <w:ind w:firstLine="643" w:firstLineChars="200"/>
        <w:jc w:val="left"/>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4.获批各级技术转移转化基地和知识产权服务平台</w:t>
      </w:r>
    </w:p>
    <w:p>
      <w:pPr>
        <w:numPr>
          <w:ilvl w:val="0"/>
          <w:numId w:val="0"/>
        </w:numPr>
        <w:ind w:firstLine="64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当年获批或当年通过上级验收、考核合格的各级技术转移转化基地、知识产权公共信息服务平台，按以下标准对平台依托学院额外计算技术转移转化工作量，在学校绩效分配中纳入学院总量计算。非当年获批平台，上级管理部门当年未安排考核的，视同为考核合格。</w:t>
      </w:r>
      <w:bookmarkStart w:id="0" w:name="_GoBack"/>
      <w:bookmarkEnd w:id="0"/>
    </w:p>
    <w:tbl>
      <w:tblPr>
        <w:tblStyle w:val="2"/>
        <w:tblW w:w="80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4819"/>
        <w:gridCol w:w="19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5" w:hRule="atLeast"/>
          <w:jc w:val="center"/>
        </w:trPr>
        <w:tc>
          <w:tcPr>
            <w:tcW w:w="1276" w:type="dxa"/>
            <w:vAlign w:val="center"/>
          </w:tcPr>
          <w:p>
            <w:pPr>
              <w:spacing w:line="400" w:lineRule="exact"/>
              <w:jc w:val="center"/>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业绩类别</w:t>
            </w:r>
          </w:p>
        </w:tc>
        <w:tc>
          <w:tcPr>
            <w:tcW w:w="4819" w:type="dxa"/>
            <w:vAlign w:val="center"/>
          </w:tcPr>
          <w:p>
            <w:pPr>
              <w:spacing w:line="400" w:lineRule="exact"/>
              <w:jc w:val="center"/>
              <w:rPr>
                <w:rFonts w:hint="default" w:ascii="仿宋" w:hAnsi="仿宋" w:eastAsia="仿宋" w:cs="仿宋"/>
                <w:b/>
                <w:caps/>
                <w:sz w:val="24"/>
                <w:szCs w:val="24"/>
                <w:lang w:val="en-US" w:eastAsia="zh-CN"/>
              </w:rPr>
            </w:pPr>
            <w:r>
              <w:rPr>
                <w:rFonts w:hint="eastAsia" w:ascii="仿宋" w:hAnsi="仿宋" w:eastAsia="仿宋" w:cs="仿宋"/>
                <w:b/>
                <w:sz w:val="24"/>
                <w:szCs w:val="24"/>
                <w:lang w:val="en-US" w:eastAsia="zh-CN"/>
              </w:rPr>
              <w:t>平台级别</w:t>
            </w:r>
          </w:p>
        </w:tc>
        <w:tc>
          <w:tcPr>
            <w:tcW w:w="1985" w:type="dxa"/>
            <w:vAlign w:val="center"/>
          </w:tcPr>
          <w:p>
            <w:pPr>
              <w:spacing w:line="400" w:lineRule="exact"/>
              <w:jc w:val="center"/>
              <w:rPr>
                <w:rFonts w:hint="eastAsia" w:ascii="仿宋" w:hAnsi="仿宋" w:eastAsia="仿宋" w:cs="仿宋"/>
                <w:b/>
                <w:caps/>
                <w:sz w:val="24"/>
                <w:szCs w:val="24"/>
              </w:rPr>
            </w:pPr>
            <w:r>
              <w:rPr>
                <w:rFonts w:hint="eastAsia" w:ascii="仿宋" w:hAnsi="仿宋" w:eastAsia="仿宋" w:cs="仿宋"/>
                <w:b/>
                <w:kern w:val="0"/>
                <w:sz w:val="24"/>
                <w:szCs w:val="24"/>
              </w:rPr>
              <w:t>分值（分/项）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restart"/>
            <w:vAlign w:val="center"/>
          </w:tcPr>
          <w:p>
            <w:pPr>
              <w:spacing w:line="400" w:lineRule="exact"/>
              <w:jc w:val="center"/>
              <w:rPr>
                <w:rFonts w:hint="eastAsia" w:ascii="仿宋" w:hAnsi="仿宋" w:eastAsia="仿宋" w:cs="仿宋"/>
                <w:w w:val="90"/>
                <w:sz w:val="24"/>
                <w:szCs w:val="24"/>
                <w:lang w:val="en-US" w:eastAsia="zh-CN"/>
              </w:rPr>
            </w:pPr>
            <w:r>
              <w:rPr>
                <w:rFonts w:hint="eastAsia" w:ascii="仿宋" w:hAnsi="仿宋" w:eastAsia="仿宋" w:cs="仿宋"/>
                <w:w w:val="90"/>
                <w:sz w:val="24"/>
                <w:szCs w:val="24"/>
                <w:lang w:val="en-US" w:eastAsia="zh-CN"/>
              </w:rPr>
              <w:t>当年获批</w:t>
            </w: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国家级</w:t>
            </w:r>
          </w:p>
        </w:tc>
        <w:tc>
          <w:tcPr>
            <w:tcW w:w="1985" w:type="dxa"/>
            <w:vAlign w:val="center"/>
          </w:tcPr>
          <w:p>
            <w:pPr>
              <w:spacing w:line="400" w:lineRule="exact"/>
              <w:jc w:val="center"/>
              <w:rPr>
                <w:rFonts w:ascii="Times New Roman" w:hAnsi="Times New Roman" w:eastAsia="宋体" w:cs="Times New Roman"/>
                <w:w w:val="90"/>
                <w:sz w:val="24"/>
                <w:szCs w:val="24"/>
              </w:rPr>
            </w:pPr>
            <w:r>
              <w:rPr>
                <w:rFonts w:hint="eastAsia" w:ascii="Times New Roman" w:hAnsi="Times New Roman" w:eastAsia="宋体" w:cs="Times New Roman"/>
                <w:w w:val="90"/>
                <w:sz w:val="24"/>
                <w:szCs w:val="24"/>
                <w:lang w:val="en-US" w:eastAsia="zh-CN"/>
              </w:rPr>
              <w:t>300</w:t>
            </w:r>
            <w:r>
              <w:rPr>
                <w:rFonts w:ascii="Times New Roman" w:hAnsi="Times New Roman" w:eastAsia="宋体" w:cs="Times New Roman"/>
                <w:w w:val="90"/>
                <w:sz w:val="24"/>
                <w:szCs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continue"/>
            <w:tcBorders/>
            <w:vAlign w:val="center"/>
          </w:tcPr>
          <w:p>
            <w:pPr>
              <w:spacing w:line="400" w:lineRule="exact"/>
              <w:jc w:val="center"/>
              <w:rPr>
                <w:rFonts w:hint="eastAsia" w:ascii="仿宋" w:hAnsi="仿宋" w:eastAsia="仿宋" w:cs="仿宋"/>
                <w:w w:val="90"/>
                <w:sz w:val="24"/>
                <w:szCs w:val="24"/>
              </w:rPr>
            </w:pP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省级</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rPr>
            </w:pPr>
            <w:r>
              <w:rPr>
                <w:rFonts w:hint="eastAsia" w:ascii="Times New Roman" w:hAnsi="Times New Roman" w:eastAsia="宋体" w:cs="Times New Roman"/>
                <w:w w:val="90"/>
                <w:sz w:val="24"/>
                <w:szCs w:val="24"/>
                <w:lang w:val="en-US" w:eastAsia="zh-CN"/>
              </w:rP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continue"/>
            <w:tcBorders/>
            <w:vAlign w:val="center"/>
          </w:tcPr>
          <w:p>
            <w:pPr>
              <w:spacing w:line="400" w:lineRule="exact"/>
              <w:jc w:val="center"/>
              <w:rPr>
                <w:rFonts w:hint="eastAsia" w:ascii="仿宋" w:hAnsi="仿宋" w:eastAsia="仿宋" w:cs="仿宋"/>
                <w:w w:val="90"/>
                <w:sz w:val="24"/>
                <w:szCs w:val="24"/>
                <w:lang w:val="en-US" w:eastAsia="zh-CN"/>
              </w:rPr>
            </w:pPr>
          </w:p>
        </w:tc>
        <w:tc>
          <w:tcPr>
            <w:tcW w:w="4819" w:type="dxa"/>
            <w:vAlign w:val="center"/>
          </w:tcPr>
          <w:p>
            <w:pPr>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市级</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restart"/>
            <w:vAlign w:val="center"/>
          </w:tcPr>
          <w:p>
            <w:pPr>
              <w:spacing w:line="400" w:lineRule="exact"/>
              <w:jc w:val="center"/>
              <w:rPr>
                <w:rFonts w:hint="default" w:ascii="仿宋" w:hAnsi="仿宋" w:eastAsia="仿宋" w:cs="仿宋"/>
                <w:w w:val="90"/>
                <w:sz w:val="24"/>
                <w:szCs w:val="24"/>
                <w:lang w:val="en-US" w:eastAsia="zh-CN"/>
              </w:rPr>
            </w:pPr>
            <w:r>
              <w:rPr>
                <w:rFonts w:hint="eastAsia" w:ascii="仿宋" w:hAnsi="仿宋" w:eastAsia="仿宋" w:cs="仿宋"/>
                <w:w w:val="90"/>
                <w:sz w:val="24"/>
                <w:szCs w:val="24"/>
                <w:lang w:val="en-US" w:eastAsia="zh-CN"/>
              </w:rPr>
              <w:t>当年上级验收或考核合格</w:t>
            </w:r>
          </w:p>
        </w:tc>
        <w:tc>
          <w:tcPr>
            <w:tcW w:w="4819" w:type="dxa"/>
            <w:vAlign w:val="center"/>
          </w:tcPr>
          <w:p>
            <w:pPr>
              <w:jc w:val="center"/>
              <w:rPr>
                <w:rFonts w:hint="eastAsia" w:ascii="仿宋" w:hAnsi="仿宋" w:eastAsia="仿宋" w:cs="仿宋"/>
                <w:w w:val="90"/>
                <w:kern w:val="2"/>
                <w:sz w:val="24"/>
                <w:szCs w:val="24"/>
                <w:lang w:val="en-US" w:eastAsia="zh-CN" w:bidi="ar-SA"/>
              </w:rPr>
            </w:pPr>
            <w:r>
              <w:rPr>
                <w:rFonts w:hint="eastAsia" w:ascii="仿宋" w:hAnsi="仿宋" w:eastAsia="仿宋" w:cs="仿宋"/>
                <w:w w:val="90"/>
                <w:sz w:val="24"/>
                <w:szCs w:val="24"/>
                <w:lang w:val="en-US" w:eastAsia="zh-CN"/>
              </w:rPr>
              <w:t>国家级</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continue"/>
            <w:tcBorders/>
            <w:vAlign w:val="center"/>
          </w:tcPr>
          <w:p>
            <w:pPr>
              <w:spacing w:line="400" w:lineRule="exact"/>
              <w:jc w:val="center"/>
              <w:rPr>
                <w:rFonts w:hint="eastAsia" w:ascii="Times New Roman" w:hAnsi="Times New Roman" w:eastAsia="宋体" w:cs="Times New Roman"/>
                <w:w w:val="90"/>
                <w:sz w:val="24"/>
                <w:szCs w:val="24"/>
                <w:lang w:val="en-US" w:eastAsia="zh-CN"/>
              </w:rPr>
            </w:pPr>
          </w:p>
        </w:tc>
        <w:tc>
          <w:tcPr>
            <w:tcW w:w="4819" w:type="dxa"/>
            <w:vAlign w:val="center"/>
          </w:tcPr>
          <w:p>
            <w:pPr>
              <w:jc w:val="center"/>
              <w:rPr>
                <w:rFonts w:hint="eastAsia" w:ascii="仿宋" w:hAnsi="仿宋" w:eastAsia="仿宋" w:cs="仿宋"/>
                <w:w w:val="90"/>
                <w:kern w:val="2"/>
                <w:sz w:val="24"/>
                <w:szCs w:val="24"/>
                <w:lang w:val="en-US" w:eastAsia="zh-CN" w:bidi="ar-SA"/>
              </w:rPr>
            </w:pPr>
            <w:r>
              <w:rPr>
                <w:rFonts w:hint="eastAsia" w:ascii="仿宋" w:hAnsi="仿宋" w:eastAsia="仿宋" w:cs="仿宋"/>
                <w:w w:val="90"/>
                <w:sz w:val="24"/>
                <w:szCs w:val="24"/>
                <w:lang w:val="en-US" w:eastAsia="zh-CN"/>
              </w:rPr>
              <w:t>省级</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eastAsia="zh-CN"/>
              </w:rPr>
            </w:pPr>
            <w:r>
              <w:rPr>
                <w:rFonts w:hint="eastAsia" w:ascii="Times New Roman" w:hAnsi="Times New Roman" w:eastAsia="宋体" w:cs="Times New Roman"/>
                <w:w w:val="90"/>
                <w:sz w:val="24"/>
                <w:szCs w:val="24"/>
                <w:lang w:val="en-US" w:eastAsia="zh-CN"/>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276" w:type="dxa"/>
            <w:vMerge w:val="continue"/>
            <w:tcBorders/>
            <w:vAlign w:val="center"/>
          </w:tcPr>
          <w:p>
            <w:pPr>
              <w:spacing w:line="400" w:lineRule="exact"/>
              <w:jc w:val="center"/>
              <w:rPr>
                <w:rFonts w:hint="eastAsia" w:ascii="Times New Roman" w:hAnsi="Times New Roman" w:eastAsia="宋体" w:cs="Times New Roman"/>
                <w:w w:val="90"/>
                <w:sz w:val="24"/>
                <w:szCs w:val="24"/>
                <w:lang w:val="en-US" w:eastAsia="zh-CN"/>
              </w:rPr>
            </w:pPr>
          </w:p>
        </w:tc>
        <w:tc>
          <w:tcPr>
            <w:tcW w:w="4819" w:type="dxa"/>
            <w:vAlign w:val="center"/>
          </w:tcPr>
          <w:p>
            <w:pPr>
              <w:jc w:val="center"/>
              <w:rPr>
                <w:rFonts w:hint="default" w:ascii="仿宋" w:hAnsi="仿宋" w:eastAsia="仿宋" w:cs="仿宋"/>
                <w:w w:val="90"/>
                <w:kern w:val="2"/>
                <w:sz w:val="24"/>
                <w:szCs w:val="24"/>
                <w:lang w:val="en-US" w:eastAsia="zh-CN" w:bidi="ar-SA"/>
              </w:rPr>
            </w:pPr>
            <w:r>
              <w:rPr>
                <w:rFonts w:hint="eastAsia" w:ascii="仿宋" w:hAnsi="仿宋" w:eastAsia="仿宋" w:cs="仿宋"/>
                <w:w w:val="90"/>
                <w:sz w:val="24"/>
                <w:szCs w:val="24"/>
                <w:lang w:val="en-US" w:eastAsia="zh-CN"/>
              </w:rPr>
              <w:t>市级</w:t>
            </w:r>
          </w:p>
        </w:tc>
        <w:tc>
          <w:tcPr>
            <w:tcW w:w="1985" w:type="dxa"/>
            <w:vAlign w:val="center"/>
          </w:tcPr>
          <w:p>
            <w:pPr>
              <w:spacing w:line="400" w:lineRule="exact"/>
              <w:jc w:val="center"/>
              <w:rPr>
                <w:rFonts w:hint="default" w:ascii="Times New Roman" w:hAnsi="Times New Roman" w:eastAsia="宋体" w:cs="Times New Roman"/>
                <w:w w:val="90"/>
                <w:sz w:val="24"/>
                <w:szCs w:val="24"/>
                <w:lang w:val="en-US"/>
              </w:rPr>
            </w:pPr>
            <w:r>
              <w:rPr>
                <w:rFonts w:hint="eastAsia" w:ascii="Times New Roman" w:hAnsi="Times New Roman" w:eastAsia="宋体" w:cs="Times New Roman"/>
                <w:w w:val="90"/>
                <w:sz w:val="24"/>
                <w:szCs w:val="24"/>
                <w:lang w:val="en-US" w:eastAsia="zh-CN"/>
              </w:rPr>
              <w:t>25</w:t>
            </w:r>
          </w:p>
        </w:tc>
      </w:tr>
    </w:tbl>
    <w:p>
      <w:pPr>
        <w:keepNext w:val="0"/>
        <w:keepLines w:val="0"/>
        <w:widowControl/>
        <w:suppressLineNumbers w:val="0"/>
        <w:ind w:firstLine="643" w:firstLineChars="20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第六条</w:t>
      </w:r>
      <w:r>
        <w:rPr>
          <w:rFonts w:hint="eastAsia" w:ascii="仿宋_GB2312" w:hAnsi="宋体" w:eastAsia="仿宋_GB2312" w:cs="仿宋_GB2312"/>
          <w:color w:val="000000"/>
          <w:kern w:val="0"/>
          <w:sz w:val="32"/>
          <w:szCs w:val="32"/>
          <w:lang w:val="en-US" w:eastAsia="zh-CN" w:bidi="ar"/>
        </w:rPr>
        <w:t xml:space="preserve">  本办法由技术转移转化中心负责解释。</w:t>
      </w:r>
    </w:p>
    <w:p>
      <w:pPr>
        <w:keepNext w:val="0"/>
        <w:keepLines w:val="0"/>
        <w:widowControl/>
        <w:suppressLineNumbers w:val="0"/>
        <w:ind w:firstLine="643" w:firstLineChars="20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第七条</w:t>
      </w:r>
      <w:r>
        <w:rPr>
          <w:rFonts w:hint="eastAsia" w:ascii="仿宋_GB2312" w:hAnsi="宋体" w:eastAsia="仿宋_GB2312" w:cs="仿宋_GB2312"/>
          <w:color w:val="000000"/>
          <w:kern w:val="0"/>
          <w:sz w:val="32"/>
          <w:szCs w:val="32"/>
          <w:lang w:val="en-US" w:eastAsia="zh-CN" w:bidi="ar"/>
        </w:rPr>
        <w:t xml:space="preserve">  本办法自2023年1月1日起执行。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zcyYTg3ZTY3ZmU1ZTExNjA2YTE2NGExNDdlZTMifQ=="/>
  </w:docVars>
  <w:rsids>
    <w:rsidRoot w:val="00000000"/>
    <w:rsid w:val="08460F26"/>
    <w:rsid w:val="0F3D061C"/>
    <w:rsid w:val="10D95615"/>
    <w:rsid w:val="156A2273"/>
    <w:rsid w:val="17CF2B09"/>
    <w:rsid w:val="18693FFE"/>
    <w:rsid w:val="19BC300D"/>
    <w:rsid w:val="218E2BA8"/>
    <w:rsid w:val="268A6A71"/>
    <w:rsid w:val="2B163BA8"/>
    <w:rsid w:val="2ED12F9D"/>
    <w:rsid w:val="34DA6DA7"/>
    <w:rsid w:val="3BD7566A"/>
    <w:rsid w:val="3EA206BB"/>
    <w:rsid w:val="41FD7EB3"/>
    <w:rsid w:val="49295E80"/>
    <w:rsid w:val="4C433CCD"/>
    <w:rsid w:val="4C523E3E"/>
    <w:rsid w:val="5152543B"/>
    <w:rsid w:val="52C542C1"/>
    <w:rsid w:val="60C50DE6"/>
    <w:rsid w:val="65286D28"/>
    <w:rsid w:val="66BC082E"/>
    <w:rsid w:val="67B70E11"/>
    <w:rsid w:val="6B3D24B0"/>
    <w:rsid w:val="6FA257BE"/>
    <w:rsid w:val="70105180"/>
    <w:rsid w:val="71377492"/>
    <w:rsid w:val="77A844B7"/>
    <w:rsid w:val="795E2C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1357</Words>
  <Characters>1421</Characters>
  <Lines>0</Lines>
  <Paragraphs>0</Paragraphs>
  <TotalTime>5</TotalTime>
  <ScaleCrop>false</ScaleCrop>
  <LinksUpToDate>false</LinksUpToDate>
  <CharactersWithSpaces>1446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2021-10-20T07:48:00Z</dcterms:created>
  <dc:creator>Z</dc:creator>
  <cp:lastModifiedBy>周平</cp:lastModifiedBy>
  <dcterms:modified xsi:type="dcterms:W3CDTF">2022-12-02T08:48:45Z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FD23F8E2B2424C65B0026C5831F0337B</vt:lpwstr>
  </property>
</Properties>
</file>